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highlight w:val="none"/>
        </w:rPr>
        <w:tab/>
      </w:r>
      <w:r>
        <w:rPr>
          <w:rFonts w:hint="eastAsia" w:eastAsia="宋体"/>
          <w:b/>
          <w:i/>
          <w:sz w:val="28"/>
          <w:highlight w:val="none"/>
          <w:lang w:val="en-US" w:eastAsia="zh-CN"/>
        </w:rPr>
        <w:t>R5-243049</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38.521-1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2813</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18.2.0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Update REFSENSE exceptions due to CBI for CA_n39A-n41A</w:t>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rFonts w:hint="eastAsia"/>
                <w:highlight w:val="none"/>
              </w:rPr>
              <w:t>LTE_NR_Simult_RxTx_R18-UEConTest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2024-05-08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MSD requirements for CA_n39A-n41A needs to be added in 7.3A.0.6 for UE supporting simultaneous  RxTx capability according to WP.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highlight w:val="none"/>
                <w:lang w:val="en-US"/>
              </w:rPr>
            </w:pPr>
            <w:r>
              <w:rPr>
                <w:rFonts w:hint="eastAsia" w:eastAsia="宋体"/>
                <w:highlight w:val="none"/>
                <w:lang w:val="en-US" w:eastAsia="zh-CN"/>
              </w:rPr>
              <w:t>MSD requirements for CA_n39A-n41A has been added in 7.3A.0.6.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7.3A.0.6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highlight w:val="none"/>
                <w:lang w:val="en-US" w:eastAsia="zh-CN"/>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w:t>
            </w:r>
            <w:r>
              <w:rPr>
                <w:rFonts w:hint="eastAsia" w:eastAsia="宋体"/>
                <w:highlight w:val="none"/>
                <w:lang w:val="en-US" w:eastAsia="zh-CN"/>
              </w:rPr>
              <w:t>38.101-1</w:t>
            </w:r>
            <w:bookmarkStart w:id="5" w:name="_GoBack"/>
            <w:bookmarkEnd w:id="5"/>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Core spec alignment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rPr>
          <w:highlight w:val="none"/>
        </w:rPr>
      </w:pPr>
      <w:bookmarkStart w:id="3" w:name="_Toc27478365"/>
      <w:bookmarkStart w:id="4" w:name="_Toc36227079"/>
      <w:r>
        <w:rPr>
          <w:highlight w:val="none"/>
        </w:rPr>
        <w:t>7.3A.0.6</w:t>
      </w:r>
      <w:r>
        <w:rPr>
          <w:highlight w:val="none"/>
        </w:rPr>
        <w:tab/>
      </w:r>
      <w:r>
        <w:rPr>
          <w:highlight w:val="none"/>
        </w:rPr>
        <w:t>Reference sensitivity exceptions due to cross band isolation for CA</w:t>
      </w:r>
      <w:bookmarkEnd w:id="3"/>
      <w:bookmarkEnd w:id="4"/>
    </w:p>
    <w:p>
      <w:pPr>
        <w:rPr>
          <w:highlight w:val="none"/>
        </w:rPr>
      </w:pPr>
      <w:r>
        <w:rPr>
          <w:highlight w:val="none"/>
        </w:rP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pPr>
        <w:rPr>
          <w:highlight w:val="none"/>
        </w:rPr>
      </w:pPr>
      <w:r>
        <w:rPr>
          <w:highlight w:val="none"/>
        </w:rPr>
        <w:t>In Tables 7.3A.0.6-1 the following terminology is used to define the source of cross-band isolation interference:</w:t>
      </w:r>
    </w:p>
    <w:p>
      <w:pPr>
        <w:pStyle w:val="75"/>
        <w:rPr>
          <w:highlight w:val="none"/>
        </w:rPr>
      </w:pPr>
      <w:r>
        <w:rPr>
          <w:highlight w:val="none"/>
        </w:rPr>
        <w:t>-</w:t>
      </w:r>
      <w:r>
        <w:rPr>
          <w:highlight w:val="none"/>
        </w:rPr>
        <w:tab/>
      </w:r>
      <w:r>
        <w:rPr>
          <w:highlight w:val="none"/>
        </w:rPr>
        <w:t>"ACLR1" indicates that the first adjacent channel of the aggressor UL band falls into the Rx channel of victim band.</w:t>
      </w:r>
    </w:p>
    <w:p>
      <w:pPr>
        <w:pStyle w:val="75"/>
        <w:rPr>
          <w:highlight w:val="none"/>
        </w:rPr>
      </w:pPr>
      <w:r>
        <w:rPr>
          <w:highlight w:val="none"/>
        </w:rPr>
        <w:t>-</w:t>
      </w:r>
      <w:r>
        <w:rPr>
          <w:highlight w:val="none"/>
        </w:rPr>
        <w:tab/>
      </w:r>
      <w:r>
        <w:rPr>
          <w:highlight w:val="none"/>
        </w:rPr>
        <w:t>"ACLR2" indicates that the second adjacent channel of the aggressor UL band falls into the Rx channel of victim band.</w:t>
      </w:r>
    </w:p>
    <w:p>
      <w:pPr>
        <w:rPr>
          <w:highlight w:val="none"/>
        </w:rPr>
      </w:pPr>
      <w:r>
        <w:rPr>
          <w:highlight w:val="none"/>
        </w:rPr>
        <w:t>"&gt;ACLR2" indicates that neither the first, nor the second adjacent channel of the aggressor UL band falls into the Rx channel of victim band.</w:t>
      </w:r>
    </w:p>
    <w:p>
      <w:pPr>
        <w:pStyle w:val="55"/>
        <w:rPr>
          <w:rFonts w:eastAsia="MS Mincho"/>
          <w:highlight w:val="none"/>
        </w:rPr>
      </w:pPr>
      <w:r>
        <w:rPr>
          <w:rFonts w:eastAsia="MS Mincho"/>
          <w:highlight w:val="none"/>
        </w:rPr>
        <w:t>Table 7.3A.0.</w:t>
      </w:r>
      <w:r>
        <w:rPr>
          <w:rFonts w:eastAsia="宋体"/>
          <w:highlight w:val="none"/>
          <w:lang w:eastAsia="zh-CN"/>
        </w:rPr>
        <w:t>6</w:t>
      </w:r>
      <w:r>
        <w:rPr>
          <w:rFonts w:eastAsia="MS Mincho"/>
          <w:highlight w:val="none"/>
        </w:rPr>
        <w:t>-1: Reference sensitivity exceptions (MSD) and uplink/downlink configurations due to cross band isolation from a PC3 aggressor NR UL band for NR CA FR1</w:t>
      </w:r>
    </w:p>
    <w:tbl>
      <w:tblPr>
        <w:tblStyle w:val="42"/>
        <w:tblW w:w="1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67"/>
        <w:gridCol w:w="1135"/>
        <w:gridCol w:w="1152"/>
        <w:gridCol w:w="1958"/>
        <w:gridCol w:w="2457"/>
        <w:gridCol w:w="1135"/>
        <w:gridCol w:w="1152"/>
        <w:gridCol w:w="911"/>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pStyle w:val="51"/>
              <w:rPr>
                <w:highlight w:val="none"/>
              </w:rPr>
            </w:pPr>
            <w:r>
              <w:rPr>
                <w:highlight w:val="none"/>
              </w:rPr>
              <w:t>UL band</w:t>
            </w:r>
          </w:p>
        </w:tc>
        <w:tc>
          <w:tcPr>
            <w:tcW w:w="1267" w:type="dxa"/>
            <w:vMerge w:val="restart"/>
            <w:vAlign w:val="center"/>
          </w:tcPr>
          <w:p>
            <w:pPr>
              <w:pStyle w:val="51"/>
              <w:rPr>
                <w:highlight w:val="none"/>
              </w:rPr>
            </w:pPr>
            <w:r>
              <w:rPr>
                <w:highlight w:val="none"/>
              </w:rPr>
              <w:t>DL band</w:t>
            </w:r>
          </w:p>
        </w:tc>
        <w:tc>
          <w:tcPr>
            <w:tcW w:w="1135" w:type="dxa"/>
            <w:vAlign w:val="center"/>
          </w:tcPr>
          <w:p>
            <w:pPr>
              <w:pStyle w:val="51"/>
              <w:rPr>
                <w:highlight w:val="none"/>
              </w:rPr>
            </w:pPr>
            <w:r>
              <w:rPr>
                <w:highlight w:val="none"/>
              </w:rPr>
              <w:t>UL F</w:t>
            </w:r>
            <w:r>
              <w:rPr>
                <w:highlight w:val="none"/>
                <w:vertAlign w:val="subscript"/>
              </w:rPr>
              <w:t>c</w:t>
            </w:r>
          </w:p>
        </w:tc>
        <w:tc>
          <w:tcPr>
            <w:tcW w:w="1152" w:type="dxa"/>
            <w:vAlign w:val="center"/>
          </w:tcPr>
          <w:p>
            <w:pPr>
              <w:pStyle w:val="51"/>
              <w:rPr>
                <w:highlight w:val="none"/>
              </w:rPr>
            </w:pPr>
            <w:r>
              <w:rPr>
                <w:highlight w:val="none"/>
              </w:rPr>
              <w:t>UL BW</w:t>
            </w:r>
          </w:p>
        </w:tc>
        <w:tc>
          <w:tcPr>
            <w:tcW w:w="1958" w:type="dxa"/>
            <w:vAlign w:val="center"/>
          </w:tcPr>
          <w:p>
            <w:pPr>
              <w:pStyle w:val="51"/>
              <w:rPr>
                <w:highlight w:val="none"/>
              </w:rPr>
            </w:pPr>
            <w:r>
              <w:rPr>
                <w:highlight w:val="none"/>
              </w:rPr>
              <w:t>SCS of UL band</w:t>
            </w:r>
          </w:p>
        </w:tc>
        <w:tc>
          <w:tcPr>
            <w:tcW w:w="2457" w:type="dxa"/>
            <w:vAlign w:val="center"/>
          </w:tcPr>
          <w:p>
            <w:pPr>
              <w:pStyle w:val="51"/>
              <w:rPr>
                <w:highlight w:val="none"/>
              </w:rPr>
            </w:pPr>
            <w:r>
              <w:rPr>
                <w:highlight w:val="none"/>
              </w:rPr>
              <w:t>UL RB Allocation</w:t>
            </w:r>
          </w:p>
        </w:tc>
        <w:tc>
          <w:tcPr>
            <w:tcW w:w="1135" w:type="dxa"/>
            <w:vAlign w:val="center"/>
          </w:tcPr>
          <w:p>
            <w:pPr>
              <w:pStyle w:val="51"/>
              <w:rPr>
                <w:highlight w:val="none"/>
              </w:rPr>
            </w:pPr>
            <w:r>
              <w:rPr>
                <w:highlight w:val="none"/>
              </w:rPr>
              <w:t>DL F</w:t>
            </w:r>
            <w:r>
              <w:rPr>
                <w:highlight w:val="none"/>
                <w:vertAlign w:val="subscript"/>
              </w:rPr>
              <w:t>c</w:t>
            </w:r>
          </w:p>
        </w:tc>
        <w:tc>
          <w:tcPr>
            <w:tcW w:w="1152" w:type="dxa"/>
            <w:vAlign w:val="center"/>
          </w:tcPr>
          <w:p>
            <w:pPr>
              <w:pStyle w:val="51"/>
              <w:rPr>
                <w:highlight w:val="none"/>
              </w:rPr>
            </w:pPr>
            <w:r>
              <w:rPr>
                <w:highlight w:val="none"/>
              </w:rPr>
              <w:t>DL BW</w:t>
            </w:r>
          </w:p>
        </w:tc>
        <w:tc>
          <w:tcPr>
            <w:tcW w:w="911" w:type="dxa"/>
            <w:vAlign w:val="center"/>
          </w:tcPr>
          <w:p>
            <w:pPr>
              <w:pStyle w:val="51"/>
              <w:rPr>
                <w:highlight w:val="none"/>
              </w:rPr>
            </w:pPr>
            <w:r>
              <w:rPr>
                <w:highlight w:val="none"/>
              </w:rPr>
              <w:t>MSD</w:t>
            </w:r>
          </w:p>
        </w:tc>
        <w:tc>
          <w:tcPr>
            <w:tcW w:w="1846" w:type="dxa"/>
            <w:vMerge w:val="restart"/>
            <w:vAlign w:val="center"/>
          </w:tcPr>
          <w:p>
            <w:pPr>
              <w:pStyle w:val="51"/>
              <w:rPr>
                <w:highlight w:val="none"/>
              </w:rPr>
            </w:pPr>
            <w:r>
              <w:rPr>
                <w:highlight w:val="none"/>
              </w:rPr>
              <w:t>Cross-band</w:t>
            </w:r>
          </w:p>
          <w:p>
            <w:pPr>
              <w:pStyle w:val="51"/>
              <w:rPr>
                <w:highlight w:val="none"/>
              </w:rPr>
            </w:pPr>
            <w:r>
              <w:rPr>
                <w:highlight w:val="none"/>
              </w:rPr>
              <w:t>Interference</w:t>
            </w:r>
          </w:p>
          <w:p>
            <w:pPr>
              <w:pStyle w:val="51"/>
              <w:rPr>
                <w:highlight w:val="none"/>
              </w:rPr>
            </w:pPr>
            <w:r>
              <w:rPr>
                <w:highlight w:val="none"/>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pStyle w:val="51"/>
              <w:rPr>
                <w:rFonts w:cs="Arial"/>
                <w:bCs/>
                <w:szCs w:val="18"/>
                <w:highlight w:val="none"/>
              </w:rPr>
            </w:pPr>
          </w:p>
        </w:tc>
        <w:tc>
          <w:tcPr>
            <w:tcW w:w="1267" w:type="dxa"/>
            <w:vMerge w:val="continue"/>
            <w:vAlign w:val="center"/>
          </w:tcPr>
          <w:p>
            <w:pPr>
              <w:pStyle w:val="51"/>
              <w:rPr>
                <w:rFonts w:cs="Arial"/>
                <w:bCs/>
                <w:szCs w:val="18"/>
                <w:highlight w:val="none"/>
              </w:rPr>
            </w:pPr>
          </w:p>
        </w:tc>
        <w:tc>
          <w:tcPr>
            <w:tcW w:w="1135" w:type="dxa"/>
            <w:vAlign w:val="center"/>
          </w:tcPr>
          <w:p>
            <w:pPr>
              <w:pStyle w:val="51"/>
              <w:rPr>
                <w:highlight w:val="none"/>
              </w:rPr>
            </w:pPr>
            <w:r>
              <w:rPr>
                <w:highlight w:val="none"/>
              </w:rPr>
              <w:t>(MHz)</w:t>
            </w:r>
          </w:p>
        </w:tc>
        <w:tc>
          <w:tcPr>
            <w:tcW w:w="1152" w:type="dxa"/>
            <w:vAlign w:val="center"/>
          </w:tcPr>
          <w:p>
            <w:pPr>
              <w:pStyle w:val="51"/>
              <w:rPr>
                <w:highlight w:val="none"/>
              </w:rPr>
            </w:pPr>
            <w:r>
              <w:rPr>
                <w:highlight w:val="none"/>
              </w:rPr>
              <w:t>(MHz)</w:t>
            </w:r>
          </w:p>
        </w:tc>
        <w:tc>
          <w:tcPr>
            <w:tcW w:w="1958" w:type="dxa"/>
            <w:vAlign w:val="center"/>
          </w:tcPr>
          <w:p>
            <w:pPr>
              <w:pStyle w:val="51"/>
              <w:rPr>
                <w:highlight w:val="none"/>
              </w:rPr>
            </w:pPr>
            <w:r>
              <w:rPr>
                <w:highlight w:val="none"/>
              </w:rPr>
              <w:t>(kHz)</w:t>
            </w:r>
          </w:p>
        </w:tc>
        <w:tc>
          <w:tcPr>
            <w:tcW w:w="2457" w:type="dxa"/>
            <w:vAlign w:val="center"/>
          </w:tcPr>
          <w:p>
            <w:pPr>
              <w:pStyle w:val="51"/>
              <w:rPr>
                <w:highlight w:val="none"/>
              </w:rPr>
            </w:pPr>
            <w:r>
              <w:rPr>
                <w:highlight w:val="none"/>
              </w:rPr>
              <w:t>L</w:t>
            </w:r>
            <w:r>
              <w:rPr>
                <w:highlight w:val="none"/>
                <w:vertAlign w:val="subscript"/>
              </w:rPr>
              <w:t>CRB</w:t>
            </w:r>
          </w:p>
        </w:tc>
        <w:tc>
          <w:tcPr>
            <w:tcW w:w="1135" w:type="dxa"/>
            <w:vAlign w:val="center"/>
          </w:tcPr>
          <w:p>
            <w:pPr>
              <w:pStyle w:val="51"/>
              <w:rPr>
                <w:highlight w:val="none"/>
              </w:rPr>
            </w:pPr>
            <w:r>
              <w:rPr>
                <w:highlight w:val="none"/>
              </w:rPr>
              <w:t>(MHz)</w:t>
            </w:r>
          </w:p>
        </w:tc>
        <w:tc>
          <w:tcPr>
            <w:tcW w:w="1152" w:type="dxa"/>
            <w:vAlign w:val="center"/>
          </w:tcPr>
          <w:p>
            <w:pPr>
              <w:pStyle w:val="51"/>
              <w:rPr>
                <w:highlight w:val="none"/>
              </w:rPr>
            </w:pPr>
            <w:r>
              <w:rPr>
                <w:highlight w:val="none"/>
              </w:rPr>
              <w:t>(MHz)</w:t>
            </w:r>
          </w:p>
        </w:tc>
        <w:tc>
          <w:tcPr>
            <w:tcW w:w="911" w:type="dxa"/>
            <w:vAlign w:val="center"/>
          </w:tcPr>
          <w:p>
            <w:pPr>
              <w:pStyle w:val="51"/>
              <w:rPr>
                <w:highlight w:val="none"/>
              </w:rPr>
            </w:pPr>
            <w:r>
              <w:rPr>
                <w:highlight w:val="none"/>
              </w:rPr>
              <w:t>(dB)</w:t>
            </w:r>
          </w:p>
        </w:tc>
        <w:tc>
          <w:tcPr>
            <w:tcW w:w="1846" w:type="dxa"/>
            <w:vMerge w:val="continue"/>
            <w:vAlign w:val="center"/>
          </w:tcPr>
          <w:p>
            <w:pPr>
              <w:spacing w:after="0"/>
              <w:jc w:val="center"/>
              <w:rPr>
                <w:rFonts w:ascii="Arial" w:hAnsi="Arial" w:cs="Arial"/>
                <w:b/>
                <w:bCs/>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n1</w:t>
            </w:r>
          </w:p>
        </w:tc>
        <w:tc>
          <w:tcPr>
            <w:tcW w:w="1267" w:type="dxa"/>
            <w:vAlign w:val="center"/>
          </w:tcPr>
          <w:p>
            <w:pPr>
              <w:pStyle w:val="52"/>
              <w:rPr>
                <w:highlight w:val="none"/>
              </w:rPr>
            </w:pPr>
            <w:r>
              <w:rPr>
                <w:highlight w:val="none"/>
              </w:rPr>
              <w:t>n3</w:t>
            </w:r>
          </w:p>
        </w:tc>
        <w:tc>
          <w:tcPr>
            <w:tcW w:w="1135" w:type="dxa"/>
            <w:vAlign w:val="center"/>
          </w:tcPr>
          <w:p>
            <w:pPr>
              <w:pStyle w:val="52"/>
              <w:rPr>
                <w:bCs/>
                <w:highlight w:val="none"/>
              </w:rPr>
            </w:pPr>
            <w:r>
              <w:rPr>
                <w:bCs/>
                <w:highlight w:val="none"/>
              </w:rPr>
              <w:t>1922.5</w:t>
            </w:r>
          </w:p>
        </w:tc>
        <w:tc>
          <w:tcPr>
            <w:tcW w:w="1152" w:type="dxa"/>
            <w:noWrap/>
            <w:vAlign w:val="center"/>
          </w:tcPr>
          <w:p>
            <w:pPr>
              <w:pStyle w:val="52"/>
              <w:rPr>
                <w:bCs/>
                <w:highlight w:val="none"/>
              </w:rPr>
            </w:pPr>
            <w:r>
              <w:rPr>
                <w:bCs/>
                <w:highlight w:val="none"/>
              </w:rPr>
              <w:t>5</w:t>
            </w:r>
          </w:p>
        </w:tc>
        <w:tc>
          <w:tcPr>
            <w:tcW w:w="1958" w:type="dxa"/>
            <w:vAlign w:val="center"/>
          </w:tcPr>
          <w:p>
            <w:pPr>
              <w:pStyle w:val="52"/>
              <w:rPr>
                <w:bCs/>
                <w:highlight w:val="none"/>
              </w:rPr>
            </w:pPr>
            <w:r>
              <w:rPr>
                <w:bCs/>
                <w:highlight w:val="none"/>
              </w:rPr>
              <w:t>15</w:t>
            </w:r>
          </w:p>
        </w:tc>
        <w:tc>
          <w:tcPr>
            <w:tcW w:w="2457" w:type="dxa"/>
            <w:noWrap/>
            <w:vAlign w:val="center"/>
          </w:tcPr>
          <w:p>
            <w:pPr>
              <w:pStyle w:val="52"/>
              <w:rPr>
                <w:bCs/>
                <w:highlight w:val="none"/>
              </w:rPr>
            </w:pPr>
            <w:r>
              <w:rPr>
                <w:bCs/>
                <w:highlight w:val="none"/>
              </w:rPr>
              <w:t>25 (RBstart=0)</w:t>
            </w:r>
          </w:p>
        </w:tc>
        <w:tc>
          <w:tcPr>
            <w:tcW w:w="1135" w:type="dxa"/>
            <w:vAlign w:val="center"/>
          </w:tcPr>
          <w:p>
            <w:pPr>
              <w:pStyle w:val="52"/>
              <w:rPr>
                <w:highlight w:val="none"/>
              </w:rPr>
            </w:pPr>
            <w:r>
              <w:rPr>
                <w:highlight w:val="none"/>
              </w:rPr>
              <w:t>1877.5</w:t>
            </w:r>
          </w:p>
        </w:tc>
        <w:tc>
          <w:tcPr>
            <w:tcW w:w="1152" w:type="dxa"/>
            <w:noWrap/>
            <w:vAlign w:val="center"/>
          </w:tcPr>
          <w:p>
            <w:pPr>
              <w:pStyle w:val="52"/>
              <w:rPr>
                <w:highlight w:val="none"/>
              </w:rPr>
            </w:pPr>
            <w:r>
              <w:rPr>
                <w:highlight w:val="none"/>
              </w:rPr>
              <w:t>5</w:t>
            </w:r>
          </w:p>
        </w:tc>
        <w:tc>
          <w:tcPr>
            <w:tcW w:w="911" w:type="dxa"/>
            <w:noWrap/>
            <w:vAlign w:val="center"/>
          </w:tcPr>
          <w:p>
            <w:pPr>
              <w:pStyle w:val="52"/>
              <w:rPr>
                <w:bCs/>
                <w:highlight w:val="none"/>
              </w:rPr>
            </w:pPr>
            <w:r>
              <w:rPr>
                <w:bCs/>
                <w:highlight w:val="none"/>
              </w:rPr>
              <w:t>3</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tcPr>
          <w:p>
            <w:pPr>
              <w:pStyle w:val="52"/>
              <w:rPr>
                <w:highlight w:val="none"/>
              </w:rPr>
            </w:pPr>
            <w:r>
              <w:rPr>
                <w:highlight w:val="none"/>
              </w:rPr>
              <w:t>n1</w:t>
            </w:r>
          </w:p>
        </w:tc>
        <w:tc>
          <w:tcPr>
            <w:tcW w:w="1267" w:type="dxa"/>
          </w:tcPr>
          <w:p>
            <w:pPr>
              <w:pStyle w:val="52"/>
              <w:rPr>
                <w:highlight w:val="none"/>
              </w:rPr>
            </w:pPr>
            <w:r>
              <w:rPr>
                <w:highlight w:val="none"/>
              </w:rPr>
              <w:t>n3</w:t>
            </w:r>
          </w:p>
        </w:tc>
        <w:tc>
          <w:tcPr>
            <w:tcW w:w="1135" w:type="dxa"/>
          </w:tcPr>
          <w:p>
            <w:pPr>
              <w:pStyle w:val="52"/>
              <w:rPr>
                <w:bCs/>
                <w:highlight w:val="none"/>
              </w:rPr>
            </w:pPr>
            <w:r>
              <w:rPr>
                <w:highlight w:val="none"/>
              </w:rPr>
              <w:t>1945</w:t>
            </w:r>
          </w:p>
        </w:tc>
        <w:tc>
          <w:tcPr>
            <w:tcW w:w="1152" w:type="dxa"/>
            <w:noWrap/>
          </w:tcPr>
          <w:p>
            <w:pPr>
              <w:pStyle w:val="52"/>
              <w:rPr>
                <w:bCs/>
                <w:highlight w:val="none"/>
              </w:rPr>
            </w:pPr>
            <w:r>
              <w:rPr>
                <w:highlight w:val="none"/>
              </w:rPr>
              <w:t>50</w:t>
            </w:r>
          </w:p>
        </w:tc>
        <w:tc>
          <w:tcPr>
            <w:tcW w:w="1958" w:type="dxa"/>
          </w:tcPr>
          <w:p>
            <w:pPr>
              <w:pStyle w:val="52"/>
              <w:rPr>
                <w:bCs/>
                <w:highlight w:val="none"/>
              </w:rPr>
            </w:pPr>
            <w:r>
              <w:rPr>
                <w:highlight w:val="none"/>
              </w:rPr>
              <w:t>15</w:t>
            </w:r>
          </w:p>
        </w:tc>
        <w:tc>
          <w:tcPr>
            <w:tcW w:w="2457" w:type="dxa"/>
            <w:noWrap/>
          </w:tcPr>
          <w:p>
            <w:pPr>
              <w:pStyle w:val="52"/>
              <w:rPr>
                <w:bCs/>
                <w:highlight w:val="none"/>
              </w:rPr>
            </w:pPr>
            <w:r>
              <w:rPr>
                <w:highlight w:val="none"/>
              </w:rPr>
              <w:t>128 (RBstart=0)</w:t>
            </w:r>
          </w:p>
        </w:tc>
        <w:tc>
          <w:tcPr>
            <w:tcW w:w="1135" w:type="dxa"/>
          </w:tcPr>
          <w:p>
            <w:pPr>
              <w:pStyle w:val="52"/>
              <w:rPr>
                <w:highlight w:val="none"/>
              </w:rPr>
            </w:pPr>
            <w:r>
              <w:rPr>
                <w:highlight w:val="none"/>
              </w:rPr>
              <w:t>1877.5</w:t>
            </w:r>
          </w:p>
        </w:tc>
        <w:tc>
          <w:tcPr>
            <w:tcW w:w="1152" w:type="dxa"/>
            <w:noWrap/>
          </w:tcPr>
          <w:p>
            <w:pPr>
              <w:pStyle w:val="52"/>
              <w:rPr>
                <w:highlight w:val="none"/>
              </w:rPr>
            </w:pPr>
            <w:r>
              <w:rPr>
                <w:highlight w:val="none"/>
              </w:rPr>
              <w:t>5</w:t>
            </w:r>
          </w:p>
        </w:tc>
        <w:tc>
          <w:tcPr>
            <w:tcW w:w="911" w:type="dxa"/>
            <w:noWrap/>
          </w:tcPr>
          <w:p>
            <w:pPr>
              <w:pStyle w:val="52"/>
              <w:rPr>
                <w:bCs/>
                <w:highlight w:val="none"/>
              </w:rPr>
            </w:pPr>
            <w:r>
              <w:rPr>
                <w:highlight w:val="none"/>
              </w:rPr>
              <w:t>19.7</w:t>
            </w:r>
          </w:p>
        </w:tc>
        <w:tc>
          <w:tcPr>
            <w:tcW w:w="1846" w:type="dxa"/>
          </w:tcPr>
          <w:p>
            <w:pPr>
              <w:pStyle w:val="52"/>
              <w:rPr>
                <w:bCs/>
                <w:highlight w:val="none"/>
              </w:rPr>
            </w:pPr>
            <w:r>
              <w:rPr>
                <w:highlight w:val="none"/>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n1</w:t>
            </w:r>
          </w:p>
        </w:tc>
        <w:tc>
          <w:tcPr>
            <w:tcW w:w="12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n41</w:t>
            </w: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Cs/>
                <w:highlight w:val="none"/>
                <w:lang w:eastAsia="zh-CN"/>
              </w:rPr>
              <w:t>1955</w:t>
            </w:r>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bCs/>
                <w:highlight w:val="none"/>
                <w:lang w:eastAsia="zh-CN"/>
              </w:rPr>
              <w:t>50</w:t>
            </w:r>
          </w:p>
        </w:tc>
        <w:tc>
          <w:tcPr>
            <w:tcW w:w="195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Cs/>
                <w:highlight w:val="none"/>
                <w:lang w:eastAsia="zh-CN"/>
              </w:rPr>
              <w:t>15</w:t>
            </w:r>
          </w:p>
        </w:tc>
        <w:tc>
          <w:tcPr>
            <w:tcW w:w="2457"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bCs/>
                <w:highlight w:val="none"/>
                <w:lang w:eastAsia="zh-CN"/>
              </w:rPr>
              <w:t>128 (RBstart=142)</w:t>
            </w: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2501</w:t>
            </w:r>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highlight w:val="none"/>
                <w:lang w:eastAsia="zh-CN"/>
              </w:rPr>
              <w:t>10</w:t>
            </w:r>
          </w:p>
        </w:tc>
        <w:tc>
          <w:tcPr>
            <w:tcW w:w="911"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bCs/>
                <w:highlight w:val="none"/>
                <w:lang w:eastAsia="zh-CN"/>
              </w:rPr>
              <w:t>6.1</w:t>
            </w:r>
          </w:p>
        </w:tc>
        <w:tc>
          <w:tcPr>
            <w:tcW w:w="184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Cs/>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n1</w:t>
            </w:r>
          </w:p>
        </w:tc>
        <w:tc>
          <w:tcPr>
            <w:tcW w:w="12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n41</w:t>
            </w: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Cs/>
                <w:highlight w:val="none"/>
                <w:lang w:eastAsia="zh-CN"/>
              </w:rPr>
              <w:t>1970</w:t>
            </w:r>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bCs/>
                <w:highlight w:val="none"/>
                <w:lang w:eastAsia="zh-CN"/>
              </w:rPr>
              <w:t>20</w:t>
            </w:r>
          </w:p>
        </w:tc>
        <w:tc>
          <w:tcPr>
            <w:tcW w:w="195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Cs/>
                <w:highlight w:val="none"/>
                <w:lang w:eastAsia="zh-CN"/>
              </w:rPr>
              <w:t>15</w:t>
            </w:r>
          </w:p>
        </w:tc>
        <w:tc>
          <w:tcPr>
            <w:tcW w:w="2457"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bCs/>
                <w:highlight w:val="none"/>
                <w:lang w:eastAsia="zh-CN"/>
              </w:rPr>
              <w:t>100 (RBstart=6)</w:t>
            </w: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2546</w:t>
            </w:r>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highlight w:val="none"/>
                <w:lang w:eastAsia="zh-CN"/>
              </w:rPr>
              <w:t>100</w:t>
            </w:r>
          </w:p>
        </w:tc>
        <w:tc>
          <w:tcPr>
            <w:tcW w:w="911"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bCs/>
                <w:highlight w:val="none"/>
                <w:lang w:eastAsia="zh-CN"/>
              </w:rPr>
              <w:t>0.7</w:t>
            </w:r>
          </w:p>
        </w:tc>
        <w:tc>
          <w:tcPr>
            <w:tcW w:w="184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Cs/>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n3</w:t>
            </w:r>
          </w:p>
        </w:tc>
        <w:tc>
          <w:tcPr>
            <w:tcW w:w="1267" w:type="dxa"/>
            <w:vAlign w:val="center"/>
          </w:tcPr>
          <w:p>
            <w:pPr>
              <w:pStyle w:val="52"/>
              <w:rPr>
                <w:highlight w:val="none"/>
              </w:rPr>
            </w:pPr>
            <w:r>
              <w:rPr>
                <w:highlight w:val="none"/>
              </w:rPr>
              <w:t>n41</w:t>
            </w:r>
          </w:p>
        </w:tc>
        <w:tc>
          <w:tcPr>
            <w:tcW w:w="1135" w:type="dxa"/>
            <w:vAlign w:val="center"/>
          </w:tcPr>
          <w:p>
            <w:pPr>
              <w:pStyle w:val="52"/>
              <w:rPr>
                <w:bCs/>
                <w:highlight w:val="none"/>
              </w:rPr>
            </w:pPr>
            <w:r>
              <w:rPr>
                <w:highlight w:val="none"/>
              </w:rPr>
              <w:t>1765</w:t>
            </w:r>
          </w:p>
        </w:tc>
        <w:tc>
          <w:tcPr>
            <w:tcW w:w="1152" w:type="dxa"/>
            <w:noWrap/>
            <w:vAlign w:val="center"/>
          </w:tcPr>
          <w:p>
            <w:pPr>
              <w:pStyle w:val="52"/>
              <w:rPr>
                <w:bCs/>
                <w:highlight w:val="none"/>
              </w:rPr>
            </w:pPr>
            <w:r>
              <w:rPr>
                <w:highlight w:val="none"/>
              </w:rPr>
              <w:t>40</w:t>
            </w:r>
          </w:p>
        </w:tc>
        <w:tc>
          <w:tcPr>
            <w:tcW w:w="1958" w:type="dxa"/>
            <w:vAlign w:val="center"/>
          </w:tcPr>
          <w:p>
            <w:pPr>
              <w:pStyle w:val="52"/>
              <w:rPr>
                <w:bCs/>
                <w:highlight w:val="none"/>
              </w:rPr>
            </w:pPr>
            <w:r>
              <w:rPr>
                <w:highlight w:val="none"/>
              </w:rPr>
              <w:t>15</w:t>
            </w:r>
          </w:p>
        </w:tc>
        <w:tc>
          <w:tcPr>
            <w:tcW w:w="2457" w:type="dxa"/>
            <w:noWrap/>
            <w:vAlign w:val="center"/>
          </w:tcPr>
          <w:p>
            <w:pPr>
              <w:pStyle w:val="52"/>
              <w:rPr>
                <w:bCs/>
                <w:highlight w:val="none"/>
              </w:rPr>
            </w:pPr>
            <w:r>
              <w:rPr>
                <w:highlight w:val="none"/>
              </w:rPr>
              <w:t>50 (RBstart=166)</w:t>
            </w:r>
          </w:p>
        </w:tc>
        <w:tc>
          <w:tcPr>
            <w:tcW w:w="1135" w:type="dxa"/>
            <w:vAlign w:val="center"/>
          </w:tcPr>
          <w:p>
            <w:pPr>
              <w:pStyle w:val="52"/>
              <w:rPr>
                <w:highlight w:val="none"/>
              </w:rPr>
            </w:pPr>
            <w:r>
              <w:rPr>
                <w:highlight w:val="none"/>
              </w:rPr>
              <w:t>2501</w:t>
            </w:r>
          </w:p>
        </w:tc>
        <w:tc>
          <w:tcPr>
            <w:tcW w:w="1152" w:type="dxa"/>
            <w:noWrap/>
            <w:vAlign w:val="center"/>
          </w:tcPr>
          <w:p>
            <w:pPr>
              <w:pStyle w:val="52"/>
              <w:rPr>
                <w:highlight w:val="none"/>
              </w:rPr>
            </w:pPr>
            <w:r>
              <w:rPr>
                <w:highlight w:val="none"/>
              </w:rPr>
              <w:t>10</w:t>
            </w:r>
          </w:p>
        </w:tc>
        <w:tc>
          <w:tcPr>
            <w:tcW w:w="911" w:type="dxa"/>
            <w:noWrap/>
            <w:vAlign w:val="center"/>
          </w:tcPr>
          <w:p>
            <w:pPr>
              <w:pStyle w:val="52"/>
              <w:rPr>
                <w:bCs/>
                <w:highlight w:val="none"/>
              </w:rPr>
            </w:pPr>
            <w:r>
              <w:rPr>
                <w:highlight w:val="none"/>
              </w:rPr>
              <w:t>0.7</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n3</w:t>
            </w:r>
          </w:p>
        </w:tc>
        <w:tc>
          <w:tcPr>
            <w:tcW w:w="1267" w:type="dxa"/>
            <w:vAlign w:val="center"/>
          </w:tcPr>
          <w:p>
            <w:pPr>
              <w:pStyle w:val="52"/>
              <w:rPr>
                <w:highlight w:val="none"/>
              </w:rPr>
            </w:pPr>
            <w:r>
              <w:rPr>
                <w:highlight w:val="none"/>
              </w:rPr>
              <w:t>n41</w:t>
            </w:r>
          </w:p>
        </w:tc>
        <w:tc>
          <w:tcPr>
            <w:tcW w:w="1135" w:type="dxa"/>
            <w:vAlign w:val="center"/>
          </w:tcPr>
          <w:p>
            <w:pPr>
              <w:pStyle w:val="52"/>
              <w:rPr>
                <w:bCs/>
                <w:highlight w:val="none"/>
              </w:rPr>
            </w:pPr>
            <w:r>
              <w:rPr>
                <w:highlight w:val="none"/>
              </w:rPr>
              <w:t>1765</w:t>
            </w:r>
          </w:p>
        </w:tc>
        <w:tc>
          <w:tcPr>
            <w:tcW w:w="1152" w:type="dxa"/>
            <w:noWrap/>
            <w:vAlign w:val="center"/>
          </w:tcPr>
          <w:p>
            <w:pPr>
              <w:pStyle w:val="52"/>
              <w:rPr>
                <w:bCs/>
                <w:highlight w:val="none"/>
              </w:rPr>
            </w:pPr>
            <w:r>
              <w:rPr>
                <w:highlight w:val="none"/>
              </w:rPr>
              <w:t>40</w:t>
            </w:r>
          </w:p>
        </w:tc>
        <w:tc>
          <w:tcPr>
            <w:tcW w:w="1958" w:type="dxa"/>
            <w:vAlign w:val="center"/>
          </w:tcPr>
          <w:p>
            <w:pPr>
              <w:pStyle w:val="52"/>
              <w:rPr>
                <w:bCs/>
                <w:highlight w:val="none"/>
              </w:rPr>
            </w:pPr>
            <w:r>
              <w:rPr>
                <w:highlight w:val="none"/>
              </w:rPr>
              <w:t>15</w:t>
            </w:r>
          </w:p>
        </w:tc>
        <w:tc>
          <w:tcPr>
            <w:tcW w:w="2457" w:type="dxa"/>
            <w:noWrap/>
            <w:vAlign w:val="center"/>
          </w:tcPr>
          <w:p>
            <w:pPr>
              <w:pStyle w:val="52"/>
              <w:rPr>
                <w:bCs/>
                <w:highlight w:val="none"/>
              </w:rPr>
            </w:pPr>
            <w:r>
              <w:rPr>
                <w:highlight w:val="none"/>
              </w:rPr>
              <w:t>50 (RBstart=166)</w:t>
            </w:r>
          </w:p>
        </w:tc>
        <w:tc>
          <w:tcPr>
            <w:tcW w:w="1135" w:type="dxa"/>
            <w:vAlign w:val="center"/>
          </w:tcPr>
          <w:p>
            <w:pPr>
              <w:pStyle w:val="52"/>
              <w:rPr>
                <w:highlight w:val="none"/>
              </w:rPr>
            </w:pPr>
            <w:r>
              <w:rPr>
                <w:highlight w:val="none"/>
              </w:rPr>
              <w:t>2546</w:t>
            </w:r>
          </w:p>
        </w:tc>
        <w:tc>
          <w:tcPr>
            <w:tcW w:w="1152" w:type="dxa"/>
            <w:noWrap/>
            <w:vAlign w:val="center"/>
          </w:tcPr>
          <w:p>
            <w:pPr>
              <w:pStyle w:val="52"/>
              <w:rPr>
                <w:highlight w:val="none"/>
              </w:rPr>
            </w:pPr>
            <w:r>
              <w:rPr>
                <w:highlight w:val="none"/>
              </w:rPr>
              <w:t>100</w:t>
            </w:r>
          </w:p>
        </w:tc>
        <w:tc>
          <w:tcPr>
            <w:tcW w:w="911" w:type="dxa"/>
            <w:noWrap/>
            <w:vAlign w:val="center"/>
          </w:tcPr>
          <w:p>
            <w:pPr>
              <w:pStyle w:val="52"/>
              <w:rPr>
                <w:bCs/>
                <w:highlight w:val="none"/>
              </w:rPr>
            </w:pPr>
            <w:r>
              <w:rPr>
                <w:bCs/>
                <w:highlight w:val="none"/>
              </w:rPr>
              <w:t>0.7</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Luyang Zhao-CMCC" w:date="2024-05-09T14:27:47Z"/>
        </w:trPr>
        <w:tc>
          <w:tcPr>
            <w:tcW w:w="1267" w:type="dxa"/>
            <w:tcBorders>
              <w:top w:val="single" w:color="auto" w:sz="4" w:space="0"/>
              <w:left w:val="single" w:color="auto" w:sz="4" w:space="0"/>
              <w:bottom w:val="single" w:color="auto" w:sz="4" w:space="0"/>
              <w:right w:val="single" w:color="auto" w:sz="4" w:space="0"/>
            </w:tcBorders>
            <w:vAlign w:val="center"/>
          </w:tcPr>
          <w:p>
            <w:pPr>
              <w:pStyle w:val="52"/>
              <w:rPr>
                <w:ins w:id="1" w:author="Luyang Zhao-CMCC" w:date="2024-05-09T14:27:47Z"/>
                <w:highlight w:val="none"/>
                <w:lang w:eastAsia="zh-CN"/>
              </w:rPr>
            </w:pPr>
            <w:ins w:id="2" w:author="Luyang Zhao-CMCC" w:date="2024-05-09T14:28:07Z">
              <w:r>
                <w:rPr>
                  <w:rFonts w:cs="Arial" w:eastAsiaTheme="minorEastAsia"/>
                  <w:highlight w:val="none"/>
                  <w:lang w:eastAsia="zh-CN"/>
                </w:rPr>
                <w:t>n</w:t>
              </w:r>
            </w:ins>
            <w:ins w:id="3" w:author="Luyang Zhao-CMCC" w:date="2024-05-09T14:28:07Z">
              <w:r>
                <w:rPr>
                  <w:rFonts w:cs="Arial" w:eastAsiaTheme="minorEastAsia"/>
                  <w:highlight w:val="none"/>
                  <w:lang w:val="en-US" w:eastAsia="zh-CN"/>
                </w:rPr>
                <w:t>39</w:t>
              </w:r>
            </w:ins>
          </w:p>
        </w:tc>
        <w:tc>
          <w:tcPr>
            <w:tcW w:w="1267" w:type="dxa"/>
            <w:tcBorders>
              <w:top w:val="single" w:color="auto" w:sz="4" w:space="0"/>
              <w:left w:val="single" w:color="auto" w:sz="4" w:space="0"/>
              <w:bottom w:val="single" w:color="auto" w:sz="4" w:space="0"/>
              <w:right w:val="single" w:color="auto" w:sz="4" w:space="0"/>
            </w:tcBorders>
            <w:vAlign w:val="center"/>
          </w:tcPr>
          <w:p>
            <w:pPr>
              <w:pStyle w:val="52"/>
              <w:rPr>
                <w:ins w:id="4" w:author="Luyang Zhao-CMCC" w:date="2024-05-09T14:27:47Z"/>
                <w:highlight w:val="none"/>
                <w:lang w:eastAsia="zh-CN"/>
              </w:rPr>
            </w:pPr>
            <w:ins w:id="5" w:author="Luyang Zhao-CMCC" w:date="2024-05-09T14:28:10Z">
              <w:r>
                <w:rPr>
                  <w:highlight w:val="none"/>
                </w:rPr>
                <w:t>n41</w:t>
              </w:r>
            </w:ins>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ins w:id="6" w:author="Luyang Zhao-CMCC" w:date="2024-05-09T14:27:47Z"/>
                <w:bCs/>
                <w:highlight w:val="none"/>
                <w:lang w:eastAsia="zh-CN"/>
              </w:rPr>
            </w:pPr>
            <w:ins w:id="7" w:author="Luyang Zhao-CMCC" w:date="2024-05-09T14:28:16Z">
              <w:r>
                <w:rPr>
                  <w:rFonts w:cs="Arial" w:eastAsiaTheme="minorEastAsia"/>
                  <w:bCs/>
                  <w:highlight w:val="none"/>
                  <w:lang w:val="en-US" w:eastAsia="zh-CN"/>
                </w:rPr>
                <w:t>1900</w:t>
              </w:r>
            </w:ins>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ins w:id="8" w:author="Luyang Zhao-CMCC" w:date="2024-05-09T14:27:47Z"/>
                <w:bCs/>
                <w:highlight w:val="none"/>
                <w:lang w:eastAsia="zh-CN"/>
              </w:rPr>
            </w:pPr>
            <w:ins w:id="9" w:author="Luyang Zhao-CMCC" w:date="2024-05-09T14:28:21Z">
              <w:r>
                <w:rPr>
                  <w:rFonts w:cs="Arial" w:eastAsiaTheme="minorEastAsia"/>
                  <w:bCs/>
                  <w:highlight w:val="none"/>
                  <w:lang w:val="en-US" w:eastAsia="zh-CN"/>
                </w:rPr>
                <w:t>40</w:t>
              </w:r>
            </w:ins>
          </w:p>
        </w:tc>
        <w:tc>
          <w:tcPr>
            <w:tcW w:w="1958" w:type="dxa"/>
            <w:tcBorders>
              <w:top w:val="single" w:color="auto" w:sz="4" w:space="0"/>
              <w:left w:val="single" w:color="auto" w:sz="4" w:space="0"/>
              <w:bottom w:val="single" w:color="auto" w:sz="4" w:space="0"/>
              <w:right w:val="single" w:color="auto" w:sz="4" w:space="0"/>
            </w:tcBorders>
            <w:vAlign w:val="center"/>
          </w:tcPr>
          <w:p>
            <w:pPr>
              <w:pStyle w:val="52"/>
              <w:rPr>
                <w:ins w:id="10" w:author="Luyang Zhao-CMCC" w:date="2024-05-09T14:27:47Z"/>
                <w:bCs/>
                <w:highlight w:val="none"/>
                <w:lang w:eastAsia="zh-CN"/>
              </w:rPr>
            </w:pPr>
            <w:ins w:id="11" w:author="Luyang Zhao-CMCC" w:date="2024-05-09T14:28:23Z">
              <w:r>
                <w:rPr>
                  <w:highlight w:val="none"/>
                </w:rPr>
                <w:t>15</w:t>
              </w:r>
            </w:ins>
          </w:p>
        </w:tc>
        <w:tc>
          <w:tcPr>
            <w:tcW w:w="2457" w:type="dxa"/>
            <w:tcBorders>
              <w:top w:val="single" w:color="auto" w:sz="4" w:space="0"/>
              <w:left w:val="single" w:color="auto" w:sz="4" w:space="0"/>
              <w:bottom w:val="single" w:color="auto" w:sz="4" w:space="0"/>
              <w:right w:val="single" w:color="auto" w:sz="4" w:space="0"/>
            </w:tcBorders>
            <w:noWrap/>
            <w:vAlign w:val="center"/>
          </w:tcPr>
          <w:p>
            <w:pPr>
              <w:pStyle w:val="52"/>
              <w:rPr>
                <w:ins w:id="12" w:author="Luyang Zhao-CMCC" w:date="2024-05-09T14:27:47Z"/>
                <w:bCs/>
                <w:highlight w:val="none"/>
                <w:lang w:eastAsia="zh-CN"/>
              </w:rPr>
            </w:pPr>
            <w:ins w:id="13" w:author="Luyang Zhao-CMCC" w:date="2024-05-09T14:28:30Z">
              <w:r>
                <w:rPr>
                  <w:rFonts w:cs="Arial" w:eastAsiaTheme="minorEastAsia"/>
                  <w:bCs/>
                  <w:highlight w:val="none"/>
                  <w:lang w:val="en-US" w:eastAsia="zh-CN"/>
                </w:rPr>
                <w:t>216</w:t>
              </w:r>
            </w:ins>
            <w:ins w:id="14" w:author="Luyang Zhao-CMCC" w:date="2024-05-09T14:28:30Z">
              <w:r>
                <w:rPr>
                  <w:rFonts w:cs="Arial" w:eastAsiaTheme="minorEastAsia"/>
                  <w:bCs/>
                  <w:highlight w:val="none"/>
                  <w:lang w:eastAsia="zh-CN"/>
                </w:rPr>
                <w:t xml:space="preserve"> (RBstart=</w:t>
              </w:r>
            </w:ins>
            <w:ins w:id="15" w:author="Luyang Zhao-CMCC" w:date="2024-05-09T14:28:30Z">
              <w:r>
                <w:rPr>
                  <w:rFonts w:cs="Arial" w:eastAsiaTheme="minorEastAsia"/>
                  <w:bCs/>
                  <w:highlight w:val="none"/>
                  <w:lang w:val="en-US" w:eastAsia="zh-CN"/>
                </w:rPr>
                <w:t>0</w:t>
              </w:r>
            </w:ins>
            <w:ins w:id="16" w:author="Luyang Zhao-CMCC" w:date="2024-05-09T14:28:30Z">
              <w:r>
                <w:rPr>
                  <w:rFonts w:cs="Arial" w:eastAsiaTheme="minorEastAsia"/>
                  <w:bCs/>
                  <w:highlight w:val="none"/>
                  <w:lang w:eastAsia="zh-CN"/>
                </w:rPr>
                <w:t>)</w:t>
              </w:r>
            </w:ins>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ins w:id="17" w:author="Luyang Zhao-CMCC" w:date="2024-05-09T14:27:47Z"/>
                <w:highlight w:val="none"/>
                <w:lang w:eastAsia="zh-CN"/>
              </w:rPr>
            </w:pPr>
            <w:ins w:id="18" w:author="Luyang Zhao-CMCC" w:date="2024-05-09T14:28:35Z">
              <w:r>
                <w:rPr>
                  <w:rFonts w:cs="Arial" w:eastAsiaTheme="minorEastAsia"/>
                  <w:highlight w:val="none"/>
                  <w:lang w:val="en-US" w:eastAsia="zh-CN"/>
                </w:rPr>
                <w:t>2501</w:t>
              </w:r>
            </w:ins>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ins w:id="19" w:author="Luyang Zhao-CMCC" w:date="2024-05-09T14:27:47Z"/>
                <w:highlight w:val="none"/>
                <w:lang w:eastAsia="zh-CN"/>
              </w:rPr>
            </w:pPr>
            <w:ins w:id="20" w:author="Luyang Zhao-CMCC" w:date="2024-05-09T14:28:39Z">
              <w:r>
                <w:rPr>
                  <w:rFonts w:cs="Arial" w:eastAsiaTheme="minorEastAsia"/>
                  <w:highlight w:val="none"/>
                  <w:lang w:val="en-US" w:eastAsia="zh-CN"/>
                </w:rPr>
                <w:t>10</w:t>
              </w:r>
            </w:ins>
          </w:p>
        </w:tc>
        <w:tc>
          <w:tcPr>
            <w:tcW w:w="911" w:type="dxa"/>
            <w:tcBorders>
              <w:top w:val="single" w:color="auto" w:sz="4" w:space="0"/>
              <w:left w:val="single" w:color="auto" w:sz="4" w:space="0"/>
              <w:bottom w:val="single" w:color="auto" w:sz="4" w:space="0"/>
              <w:right w:val="single" w:color="auto" w:sz="4" w:space="0"/>
            </w:tcBorders>
            <w:noWrap/>
            <w:vAlign w:val="center"/>
          </w:tcPr>
          <w:p>
            <w:pPr>
              <w:pStyle w:val="52"/>
              <w:rPr>
                <w:ins w:id="21" w:author="Luyang Zhao-CMCC" w:date="2024-05-09T14:27:47Z"/>
                <w:rFonts w:hint="default"/>
                <w:bCs/>
                <w:highlight w:val="none"/>
                <w:lang w:val="en-US" w:eastAsia="zh-CN"/>
              </w:rPr>
            </w:pPr>
            <w:ins w:id="22" w:author="Luyang Zhao-CMCC" w:date="2024-05-09T14:28:40Z">
              <w:r>
                <w:rPr>
                  <w:rFonts w:hint="eastAsia"/>
                  <w:bCs/>
                  <w:highlight w:val="none"/>
                  <w:lang w:val="en-US" w:eastAsia="zh-CN"/>
                </w:rPr>
                <w:t>3.3</w:t>
              </w:r>
            </w:ins>
          </w:p>
        </w:tc>
        <w:tc>
          <w:tcPr>
            <w:tcW w:w="1846" w:type="dxa"/>
            <w:tcBorders>
              <w:top w:val="single" w:color="auto" w:sz="4" w:space="0"/>
              <w:left w:val="single" w:color="auto" w:sz="4" w:space="0"/>
              <w:bottom w:val="single" w:color="auto" w:sz="4" w:space="0"/>
              <w:right w:val="single" w:color="auto" w:sz="4" w:space="0"/>
            </w:tcBorders>
            <w:vAlign w:val="center"/>
          </w:tcPr>
          <w:p>
            <w:pPr>
              <w:pStyle w:val="52"/>
              <w:rPr>
                <w:ins w:id="23" w:author="Luyang Zhao-CMCC" w:date="2024-05-09T14:27:47Z"/>
                <w:bCs/>
                <w:highlight w:val="none"/>
                <w:lang w:eastAsia="zh-CN"/>
              </w:rPr>
            </w:pPr>
            <w:ins w:id="24" w:author="Luyang Zhao-CMCC" w:date="2024-05-09T14:28:46Z">
              <w:r>
                <w:rPr>
                  <w:rFonts w:cs="Arial" w:eastAsiaTheme="minorEastAsia"/>
                  <w:bCs/>
                  <w:highlight w:val="none"/>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 w:author="Luyang Zhao-CMCC" w:date="2024-05-09T14:27:38Z"/>
        </w:trPr>
        <w:tc>
          <w:tcPr>
            <w:tcW w:w="1267" w:type="dxa"/>
            <w:tcBorders>
              <w:top w:val="single" w:color="auto" w:sz="4" w:space="0"/>
              <w:left w:val="single" w:color="auto" w:sz="4" w:space="0"/>
              <w:bottom w:val="single" w:color="auto" w:sz="4" w:space="0"/>
              <w:right w:val="single" w:color="auto" w:sz="4" w:space="0"/>
            </w:tcBorders>
            <w:vAlign w:val="center"/>
          </w:tcPr>
          <w:p>
            <w:pPr>
              <w:pStyle w:val="52"/>
              <w:rPr>
                <w:ins w:id="26" w:author="Luyang Zhao-CMCC" w:date="2024-05-09T14:27:38Z"/>
                <w:highlight w:val="none"/>
                <w:lang w:eastAsia="zh-CN"/>
              </w:rPr>
            </w:pPr>
            <w:ins w:id="27" w:author="Luyang Zhao-CMCC" w:date="2024-05-09T14:28:55Z">
              <w:r>
                <w:rPr>
                  <w:rFonts w:cs="Arial" w:eastAsiaTheme="minorEastAsia"/>
                  <w:highlight w:val="none"/>
                  <w:lang w:eastAsia="zh-CN"/>
                </w:rPr>
                <w:t>n</w:t>
              </w:r>
            </w:ins>
            <w:ins w:id="28" w:author="Luyang Zhao-CMCC" w:date="2024-05-09T14:28:55Z">
              <w:r>
                <w:rPr>
                  <w:rFonts w:cs="Arial" w:eastAsiaTheme="minorEastAsia"/>
                  <w:highlight w:val="none"/>
                  <w:lang w:val="en-US" w:eastAsia="zh-CN"/>
                </w:rPr>
                <w:t>41</w:t>
              </w:r>
            </w:ins>
          </w:p>
        </w:tc>
        <w:tc>
          <w:tcPr>
            <w:tcW w:w="1267" w:type="dxa"/>
            <w:tcBorders>
              <w:top w:val="single" w:color="auto" w:sz="4" w:space="0"/>
              <w:left w:val="single" w:color="auto" w:sz="4" w:space="0"/>
              <w:bottom w:val="single" w:color="auto" w:sz="4" w:space="0"/>
              <w:right w:val="single" w:color="auto" w:sz="4" w:space="0"/>
            </w:tcBorders>
            <w:vAlign w:val="center"/>
          </w:tcPr>
          <w:p>
            <w:pPr>
              <w:pStyle w:val="52"/>
              <w:rPr>
                <w:ins w:id="29" w:author="Luyang Zhao-CMCC" w:date="2024-05-09T14:27:38Z"/>
                <w:highlight w:val="none"/>
                <w:lang w:eastAsia="zh-CN"/>
              </w:rPr>
            </w:pPr>
            <w:ins w:id="30" w:author="Luyang Zhao-CMCC" w:date="2024-05-09T14:28:56Z">
              <w:r>
                <w:rPr>
                  <w:rFonts w:cs="Arial" w:eastAsiaTheme="minorEastAsia"/>
                  <w:highlight w:val="none"/>
                  <w:lang w:eastAsia="zh-CN"/>
                </w:rPr>
                <w:t>n</w:t>
              </w:r>
            </w:ins>
            <w:ins w:id="31" w:author="Luyang Zhao-CMCC" w:date="2024-05-09T14:28:56Z">
              <w:r>
                <w:rPr>
                  <w:rFonts w:cs="Arial" w:eastAsiaTheme="minorEastAsia"/>
                  <w:highlight w:val="none"/>
                  <w:lang w:val="en-US" w:eastAsia="zh-CN"/>
                </w:rPr>
                <w:t>39</w:t>
              </w:r>
            </w:ins>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ins w:id="32" w:author="Luyang Zhao-CMCC" w:date="2024-05-09T14:27:38Z"/>
                <w:bCs/>
                <w:highlight w:val="none"/>
                <w:lang w:eastAsia="zh-CN"/>
              </w:rPr>
            </w:pPr>
            <w:ins w:id="33" w:author="Luyang Zhao-CMCC" w:date="2024-05-09T14:29:01Z">
              <w:r>
                <w:rPr>
                  <w:rFonts w:cs="Arial" w:eastAsiaTheme="minorEastAsia"/>
                  <w:bCs/>
                  <w:highlight w:val="none"/>
                  <w:lang w:val="en-US" w:eastAsia="zh-CN"/>
                </w:rPr>
                <w:t>2546</w:t>
              </w:r>
            </w:ins>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ins w:id="34" w:author="Luyang Zhao-CMCC" w:date="2024-05-09T14:27:38Z"/>
                <w:rFonts w:hint="default"/>
                <w:bCs/>
                <w:highlight w:val="none"/>
                <w:lang w:val="en-US" w:eastAsia="zh-CN"/>
              </w:rPr>
            </w:pPr>
            <w:ins w:id="35" w:author="Luyang Zhao-CMCC" w:date="2024-05-09T14:29:17Z">
              <w:r>
                <w:rPr>
                  <w:rFonts w:hint="eastAsia"/>
                  <w:bCs/>
                  <w:highlight w:val="none"/>
                  <w:lang w:val="en-US" w:eastAsia="zh-CN"/>
                </w:rPr>
                <w:t>10</w:t>
              </w:r>
            </w:ins>
            <w:ins w:id="36" w:author="Luyang Zhao-CMCC" w:date="2024-05-09T14:29:02Z">
              <w:r>
                <w:rPr>
                  <w:rFonts w:hint="eastAsia"/>
                  <w:bCs/>
                  <w:highlight w:val="none"/>
                  <w:lang w:val="en-US" w:eastAsia="zh-CN"/>
                </w:rPr>
                <w:t>0</w:t>
              </w:r>
            </w:ins>
          </w:p>
        </w:tc>
        <w:tc>
          <w:tcPr>
            <w:tcW w:w="1958" w:type="dxa"/>
            <w:tcBorders>
              <w:top w:val="single" w:color="auto" w:sz="4" w:space="0"/>
              <w:left w:val="single" w:color="auto" w:sz="4" w:space="0"/>
              <w:bottom w:val="single" w:color="auto" w:sz="4" w:space="0"/>
              <w:right w:val="single" w:color="auto" w:sz="4" w:space="0"/>
            </w:tcBorders>
            <w:vAlign w:val="center"/>
          </w:tcPr>
          <w:p>
            <w:pPr>
              <w:pStyle w:val="52"/>
              <w:rPr>
                <w:ins w:id="37" w:author="Luyang Zhao-CMCC" w:date="2024-05-09T14:27:38Z"/>
                <w:rFonts w:hint="default"/>
                <w:bCs/>
                <w:highlight w:val="none"/>
                <w:lang w:val="en-US" w:eastAsia="zh-CN"/>
              </w:rPr>
            </w:pPr>
            <w:ins w:id="38" w:author="Luyang Zhao-CMCC" w:date="2024-05-09T14:29:04Z">
              <w:r>
                <w:rPr>
                  <w:rFonts w:hint="eastAsia"/>
                  <w:bCs/>
                  <w:highlight w:val="none"/>
                  <w:lang w:val="en-US" w:eastAsia="zh-CN"/>
                </w:rPr>
                <w:t>30</w:t>
              </w:r>
            </w:ins>
          </w:p>
        </w:tc>
        <w:tc>
          <w:tcPr>
            <w:tcW w:w="2457" w:type="dxa"/>
            <w:tcBorders>
              <w:top w:val="single" w:color="auto" w:sz="4" w:space="0"/>
              <w:left w:val="single" w:color="auto" w:sz="4" w:space="0"/>
              <w:bottom w:val="single" w:color="auto" w:sz="4" w:space="0"/>
              <w:right w:val="single" w:color="auto" w:sz="4" w:space="0"/>
            </w:tcBorders>
            <w:noWrap/>
            <w:vAlign w:val="center"/>
          </w:tcPr>
          <w:p>
            <w:pPr>
              <w:pStyle w:val="52"/>
              <w:rPr>
                <w:ins w:id="39" w:author="Luyang Zhao-CMCC" w:date="2024-05-09T14:27:38Z"/>
                <w:bCs/>
                <w:highlight w:val="none"/>
                <w:lang w:eastAsia="zh-CN"/>
              </w:rPr>
            </w:pPr>
            <w:ins w:id="40" w:author="Luyang Zhao-CMCC" w:date="2024-05-09T14:29:26Z">
              <w:r>
                <w:rPr>
                  <w:rFonts w:cs="Arial" w:eastAsiaTheme="minorEastAsia"/>
                  <w:bCs/>
                  <w:highlight w:val="none"/>
                  <w:lang w:val="en-US" w:eastAsia="zh-CN"/>
                </w:rPr>
                <w:t>270</w:t>
              </w:r>
            </w:ins>
            <w:ins w:id="41" w:author="Luyang Zhao-CMCC" w:date="2024-05-09T14:29:26Z">
              <w:r>
                <w:rPr>
                  <w:rFonts w:cs="Arial" w:eastAsiaTheme="minorEastAsia"/>
                  <w:bCs/>
                  <w:highlight w:val="none"/>
                  <w:lang w:eastAsia="zh-CN"/>
                </w:rPr>
                <w:t xml:space="preserve"> (RBstart=</w:t>
              </w:r>
            </w:ins>
            <w:ins w:id="42" w:author="Luyang Zhao-CMCC" w:date="2024-05-09T14:29:26Z">
              <w:r>
                <w:rPr>
                  <w:rFonts w:cs="Arial" w:eastAsiaTheme="minorEastAsia"/>
                  <w:bCs/>
                  <w:highlight w:val="none"/>
                  <w:lang w:val="en-US" w:eastAsia="zh-CN"/>
                </w:rPr>
                <w:t>3</w:t>
              </w:r>
            </w:ins>
            <w:ins w:id="43" w:author="Luyang Zhao-CMCC" w:date="2024-05-09T14:29:26Z">
              <w:r>
                <w:rPr>
                  <w:rFonts w:cs="Arial" w:eastAsiaTheme="minorEastAsia"/>
                  <w:bCs/>
                  <w:highlight w:val="none"/>
                  <w:lang w:eastAsia="zh-CN"/>
                </w:rPr>
                <w:t>)</w:t>
              </w:r>
            </w:ins>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ins w:id="44" w:author="Luyang Zhao-CMCC" w:date="2024-05-09T14:27:38Z"/>
                <w:highlight w:val="none"/>
                <w:lang w:eastAsia="zh-CN"/>
              </w:rPr>
            </w:pPr>
            <w:ins w:id="45" w:author="Luyang Zhao-CMCC" w:date="2024-05-09T14:29:32Z">
              <w:r>
                <w:rPr>
                  <w:rFonts w:cs="Arial" w:eastAsiaTheme="minorEastAsia"/>
                  <w:bCs/>
                  <w:highlight w:val="none"/>
                  <w:lang w:val="en-US" w:eastAsia="zh-CN"/>
                </w:rPr>
                <w:t>1917.5</w:t>
              </w:r>
            </w:ins>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ins w:id="46" w:author="Luyang Zhao-CMCC" w:date="2024-05-09T14:27:38Z"/>
                <w:rFonts w:hint="default"/>
                <w:highlight w:val="none"/>
                <w:lang w:val="en-US" w:eastAsia="zh-CN"/>
              </w:rPr>
            </w:pPr>
            <w:ins w:id="47" w:author="Luyang Zhao-CMCC" w:date="2024-05-09T14:29:33Z">
              <w:r>
                <w:rPr>
                  <w:rFonts w:hint="eastAsia"/>
                  <w:highlight w:val="none"/>
                  <w:lang w:val="en-US" w:eastAsia="zh-CN"/>
                </w:rPr>
                <w:t>5</w:t>
              </w:r>
            </w:ins>
          </w:p>
        </w:tc>
        <w:tc>
          <w:tcPr>
            <w:tcW w:w="911" w:type="dxa"/>
            <w:tcBorders>
              <w:top w:val="single" w:color="auto" w:sz="4" w:space="0"/>
              <w:left w:val="single" w:color="auto" w:sz="4" w:space="0"/>
              <w:bottom w:val="single" w:color="auto" w:sz="4" w:space="0"/>
              <w:right w:val="single" w:color="auto" w:sz="4" w:space="0"/>
            </w:tcBorders>
            <w:noWrap/>
            <w:vAlign w:val="center"/>
          </w:tcPr>
          <w:p>
            <w:pPr>
              <w:pStyle w:val="52"/>
              <w:rPr>
                <w:ins w:id="48" w:author="Luyang Zhao-CMCC" w:date="2024-05-09T14:27:38Z"/>
                <w:rFonts w:hint="default"/>
                <w:bCs/>
                <w:highlight w:val="none"/>
                <w:lang w:val="en-US" w:eastAsia="zh-CN"/>
              </w:rPr>
            </w:pPr>
            <w:ins w:id="49" w:author="Luyang Zhao-CMCC" w:date="2024-05-09T14:29:33Z">
              <w:r>
                <w:rPr>
                  <w:rFonts w:hint="eastAsia"/>
                  <w:bCs/>
                  <w:highlight w:val="none"/>
                  <w:lang w:val="en-US" w:eastAsia="zh-CN"/>
                </w:rPr>
                <w:t>1</w:t>
              </w:r>
            </w:ins>
            <w:ins w:id="50" w:author="Luyang Zhao-CMCC" w:date="2024-05-09T14:29:34Z">
              <w:r>
                <w:rPr>
                  <w:rFonts w:hint="eastAsia"/>
                  <w:bCs/>
                  <w:highlight w:val="none"/>
                  <w:lang w:val="en-US" w:eastAsia="zh-CN"/>
                </w:rPr>
                <w:t>.6</w:t>
              </w:r>
            </w:ins>
          </w:p>
        </w:tc>
        <w:tc>
          <w:tcPr>
            <w:tcW w:w="1846" w:type="dxa"/>
            <w:tcBorders>
              <w:top w:val="single" w:color="auto" w:sz="4" w:space="0"/>
              <w:left w:val="single" w:color="auto" w:sz="4" w:space="0"/>
              <w:bottom w:val="single" w:color="auto" w:sz="4" w:space="0"/>
              <w:right w:val="single" w:color="auto" w:sz="4" w:space="0"/>
            </w:tcBorders>
            <w:vAlign w:val="center"/>
          </w:tcPr>
          <w:p>
            <w:pPr>
              <w:pStyle w:val="52"/>
              <w:rPr>
                <w:ins w:id="51" w:author="Luyang Zhao-CMCC" w:date="2024-05-09T14:27:38Z"/>
                <w:bCs/>
                <w:highlight w:val="none"/>
                <w:lang w:eastAsia="zh-CN"/>
              </w:rPr>
            </w:pPr>
            <w:ins w:id="52" w:author="Luyang Zhao-CMCC" w:date="2024-05-09T14:29:40Z">
              <w:r>
                <w:rPr>
                  <w:rFonts w:cs="Arial" w:eastAsiaTheme="minorEastAsia"/>
                  <w:bCs/>
                  <w:highlight w:val="none"/>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n41</w:t>
            </w:r>
          </w:p>
        </w:tc>
        <w:tc>
          <w:tcPr>
            <w:tcW w:w="12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n1</w:t>
            </w: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Cs/>
                <w:highlight w:val="none"/>
                <w:lang w:eastAsia="zh-CN"/>
              </w:rPr>
              <w:t>2546</w:t>
            </w:r>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bCs/>
                <w:highlight w:val="none"/>
                <w:lang w:eastAsia="zh-CN"/>
              </w:rPr>
              <w:t>100</w:t>
            </w:r>
          </w:p>
        </w:tc>
        <w:tc>
          <w:tcPr>
            <w:tcW w:w="195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Cs/>
                <w:highlight w:val="none"/>
                <w:lang w:eastAsia="zh-CN"/>
              </w:rPr>
              <w:t>30</w:t>
            </w:r>
          </w:p>
        </w:tc>
        <w:tc>
          <w:tcPr>
            <w:tcW w:w="2457"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bCs/>
                <w:highlight w:val="none"/>
                <w:lang w:eastAsia="zh-CN"/>
              </w:rPr>
              <w:t>270 (RBstart=0)</w:t>
            </w: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2167.5</w:t>
            </w:r>
          </w:p>
        </w:tc>
        <w:tc>
          <w:tcPr>
            <w:tcW w:w="1152"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highlight w:val="none"/>
                <w:lang w:eastAsia="zh-CN"/>
              </w:rPr>
              <w:t>5</w:t>
            </w:r>
          </w:p>
        </w:tc>
        <w:tc>
          <w:tcPr>
            <w:tcW w:w="911" w:type="dxa"/>
            <w:tcBorders>
              <w:top w:val="single" w:color="auto" w:sz="4" w:space="0"/>
              <w:left w:val="single" w:color="auto" w:sz="4" w:space="0"/>
              <w:bottom w:val="single" w:color="auto" w:sz="4" w:space="0"/>
              <w:right w:val="single" w:color="auto" w:sz="4" w:space="0"/>
            </w:tcBorders>
            <w:noWrap/>
            <w:vAlign w:val="center"/>
          </w:tcPr>
          <w:p>
            <w:pPr>
              <w:pStyle w:val="52"/>
              <w:rPr>
                <w:bCs/>
                <w:highlight w:val="none"/>
              </w:rPr>
            </w:pPr>
            <w:r>
              <w:rPr>
                <w:bCs/>
                <w:highlight w:val="none"/>
                <w:lang w:eastAsia="zh-CN"/>
              </w:rPr>
              <w:t>18.1</w:t>
            </w:r>
          </w:p>
        </w:tc>
        <w:tc>
          <w:tcPr>
            <w:tcW w:w="1846" w:type="dxa"/>
            <w:tcBorders>
              <w:top w:val="single" w:color="auto" w:sz="4" w:space="0"/>
              <w:left w:val="single" w:color="auto" w:sz="4" w:space="0"/>
              <w:bottom w:val="single" w:color="auto" w:sz="4" w:space="0"/>
              <w:right w:val="single" w:color="auto" w:sz="4" w:space="0"/>
            </w:tcBorders>
            <w:vAlign w:val="center"/>
          </w:tcPr>
          <w:p>
            <w:pPr>
              <w:pStyle w:val="52"/>
              <w:rPr>
                <w:bCs/>
                <w:highlight w:val="none"/>
              </w:rPr>
            </w:pPr>
            <w:r>
              <w:rPr>
                <w:bCs/>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n41</w:t>
            </w:r>
          </w:p>
        </w:tc>
        <w:tc>
          <w:tcPr>
            <w:tcW w:w="1267" w:type="dxa"/>
            <w:vAlign w:val="center"/>
          </w:tcPr>
          <w:p>
            <w:pPr>
              <w:pStyle w:val="52"/>
              <w:rPr>
                <w:highlight w:val="none"/>
                <w:vertAlign w:val="superscript"/>
              </w:rPr>
            </w:pPr>
            <w:r>
              <w:rPr>
                <w:highlight w:val="none"/>
              </w:rPr>
              <w:t>n3</w:t>
            </w:r>
          </w:p>
        </w:tc>
        <w:tc>
          <w:tcPr>
            <w:tcW w:w="1135" w:type="dxa"/>
            <w:vAlign w:val="center"/>
          </w:tcPr>
          <w:p>
            <w:pPr>
              <w:pStyle w:val="52"/>
              <w:rPr>
                <w:bCs/>
                <w:highlight w:val="none"/>
              </w:rPr>
            </w:pPr>
            <w:r>
              <w:rPr>
                <w:bCs/>
                <w:highlight w:val="none"/>
              </w:rPr>
              <w:t>2546</w:t>
            </w:r>
          </w:p>
        </w:tc>
        <w:tc>
          <w:tcPr>
            <w:tcW w:w="1152" w:type="dxa"/>
            <w:noWrap/>
            <w:vAlign w:val="center"/>
          </w:tcPr>
          <w:p>
            <w:pPr>
              <w:pStyle w:val="52"/>
              <w:rPr>
                <w:bCs/>
                <w:highlight w:val="none"/>
              </w:rPr>
            </w:pPr>
            <w:r>
              <w:rPr>
                <w:bCs/>
                <w:highlight w:val="none"/>
              </w:rPr>
              <w:t>100</w:t>
            </w:r>
          </w:p>
        </w:tc>
        <w:tc>
          <w:tcPr>
            <w:tcW w:w="1958" w:type="dxa"/>
            <w:vAlign w:val="center"/>
          </w:tcPr>
          <w:p>
            <w:pPr>
              <w:pStyle w:val="52"/>
              <w:rPr>
                <w:bCs/>
                <w:highlight w:val="none"/>
              </w:rPr>
            </w:pPr>
            <w:r>
              <w:rPr>
                <w:bCs/>
                <w:highlight w:val="none"/>
              </w:rPr>
              <w:t>30</w:t>
            </w:r>
          </w:p>
        </w:tc>
        <w:tc>
          <w:tcPr>
            <w:tcW w:w="2457" w:type="dxa"/>
            <w:noWrap/>
            <w:vAlign w:val="center"/>
          </w:tcPr>
          <w:p>
            <w:pPr>
              <w:pStyle w:val="52"/>
              <w:rPr>
                <w:bCs/>
                <w:highlight w:val="none"/>
              </w:rPr>
            </w:pPr>
            <w:r>
              <w:rPr>
                <w:bCs/>
                <w:highlight w:val="none"/>
              </w:rPr>
              <w:t>270 (RBstart=0)</w:t>
            </w:r>
          </w:p>
        </w:tc>
        <w:tc>
          <w:tcPr>
            <w:tcW w:w="1135" w:type="dxa"/>
            <w:vAlign w:val="center"/>
          </w:tcPr>
          <w:p>
            <w:pPr>
              <w:pStyle w:val="52"/>
              <w:rPr>
                <w:highlight w:val="none"/>
              </w:rPr>
            </w:pPr>
            <w:r>
              <w:rPr>
                <w:highlight w:val="none"/>
              </w:rPr>
              <w:t>1877.5</w:t>
            </w:r>
          </w:p>
        </w:tc>
        <w:tc>
          <w:tcPr>
            <w:tcW w:w="1152" w:type="dxa"/>
            <w:noWrap/>
            <w:vAlign w:val="center"/>
          </w:tcPr>
          <w:p>
            <w:pPr>
              <w:pStyle w:val="52"/>
              <w:rPr>
                <w:highlight w:val="none"/>
              </w:rPr>
            </w:pPr>
            <w:r>
              <w:rPr>
                <w:highlight w:val="none"/>
              </w:rPr>
              <w:t>5</w:t>
            </w:r>
          </w:p>
        </w:tc>
        <w:tc>
          <w:tcPr>
            <w:tcW w:w="911" w:type="dxa"/>
            <w:noWrap/>
            <w:vAlign w:val="center"/>
          </w:tcPr>
          <w:p>
            <w:pPr>
              <w:pStyle w:val="52"/>
              <w:rPr>
                <w:bCs/>
                <w:highlight w:val="none"/>
              </w:rPr>
            </w:pPr>
            <w:r>
              <w:rPr>
                <w:bCs/>
                <w:highlight w:val="none"/>
              </w:rPr>
              <w:t>0.6</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n41</w:t>
            </w:r>
            <w:r>
              <w:rPr>
                <w:highlight w:val="none"/>
                <w:vertAlign w:val="superscript"/>
              </w:rPr>
              <w:t>1</w:t>
            </w:r>
          </w:p>
        </w:tc>
        <w:tc>
          <w:tcPr>
            <w:tcW w:w="1267" w:type="dxa"/>
            <w:vAlign w:val="center"/>
          </w:tcPr>
          <w:p>
            <w:pPr>
              <w:pStyle w:val="52"/>
              <w:rPr>
                <w:highlight w:val="none"/>
                <w:vertAlign w:val="superscript"/>
              </w:rPr>
            </w:pPr>
            <w:r>
              <w:rPr>
                <w:highlight w:val="none"/>
              </w:rPr>
              <w:t>n66</w:t>
            </w:r>
          </w:p>
        </w:tc>
        <w:tc>
          <w:tcPr>
            <w:tcW w:w="1135" w:type="dxa"/>
            <w:vAlign w:val="center"/>
          </w:tcPr>
          <w:p>
            <w:pPr>
              <w:pStyle w:val="52"/>
              <w:rPr>
                <w:bCs/>
                <w:highlight w:val="none"/>
              </w:rPr>
            </w:pPr>
            <w:r>
              <w:rPr>
                <w:bCs/>
                <w:highlight w:val="none"/>
              </w:rPr>
              <w:t>2546</w:t>
            </w:r>
          </w:p>
        </w:tc>
        <w:tc>
          <w:tcPr>
            <w:tcW w:w="1152" w:type="dxa"/>
            <w:noWrap/>
            <w:vAlign w:val="center"/>
          </w:tcPr>
          <w:p>
            <w:pPr>
              <w:pStyle w:val="52"/>
              <w:rPr>
                <w:bCs/>
                <w:highlight w:val="none"/>
              </w:rPr>
            </w:pPr>
            <w:r>
              <w:rPr>
                <w:bCs/>
                <w:highlight w:val="none"/>
              </w:rPr>
              <w:t>100</w:t>
            </w:r>
          </w:p>
        </w:tc>
        <w:tc>
          <w:tcPr>
            <w:tcW w:w="1958" w:type="dxa"/>
            <w:vAlign w:val="center"/>
          </w:tcPr>
          <w:p>
            <w:pPr>
              <w:pStyle w:val="52"/>
              <w:rPr>
                <w:bCs/>
                <w:highlight w:val="none"/>
              </w:rPr>
            </w:pPr>
            <w:r>
              <w:rPr>
                <w:bCs/>
                <w:highlight w:val="none"/>
              </w:rPr>
              <w:t>30</w:t>
            </w:r>
          </w:p>
        </w:tc>
        <w:tc>
          <w:tcPr>
            <w:tcW w:w="2457" w:type="dxa"/>
            <w:noWrap/>
            <w:vAlign w:val="center"/>
          </w:tcPr>
          <w:p>
            <w:pPr>
              <w:pStyle w:val="52"/>
              <w:rPr>
                <w:bCs/>
                <w:highlight w:val="none"/>
              </w:rPr>
            </w:pPr>
            <w:r>
              <w:rPr>
                <w:bCs/>
                <w:highlight w:val="none"/>
              </w:rPr>
              <w:t>270 (RBstart=0)</w:t>
            </w:r>
          </w:p>
        </w:tc>
        <w:tc>
          <w:tcPr>
            <w:tcW w:w="1135" w:type="dxa"/>
            <w:vAlign w:val="center"/>
          </w:tcPr>
          <w:p>
            <w:pPr>
              <w:pStyle w:val="52"/>
              <w:rPr>
                <w:highlight w:val="none"/>
              </w:rPr>
            </w:pPr>
            <w:r>
              <w:rPr>
                <w:highlight w:val="none"/>
              </w:rPr>
              <w:t>2197.5</w:t>
            </w:r>
          </w:p>
        </w:tc>
        <w:tc>
          <w:tcPr>
            <w:tcW w:w="1152" w:type="dxa"/>
            <w:noWrap/>
            <w:vAlign w:val="center"/>
          </w:tcPr>
          <w:p>
            <w:pPr>
              <w:pStyle w:val="52"/>
              <w:rPr>
                <w:highlight w:val="none"/>
              </w:rPr>
            </w:pPr>
            <w:r>
              <w:rPr>
                <w:highlight w:val="none"/>
              </w:rPr>
              <w:t>5</w:t>
            </w:r>
          </w:p>
        </w:tc>
        <w:tc>
          <w:tcPr>
            <w:tcW w:w="911" w:type="dxa"/>
            <w:noWrap/>
            <w:vAlign w:val="center"/>
          </w:tcPr>
          <w:p>
            <w:pPr>
              <w:pStyle w:val="52"/>
              <w:rPr>
                <w:bCs/>
                <w:highlight w:val="none"/>
              </w:rPr>
            </w:pPr>
            <w:r>
              <w:rPr>
                <w:bCs/>
                <w:highlight w:val="none"/>
              </w:rPr>
              <w:t>10.5</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lang w:eastAsia="zh-CN"/>
              </w:rPr>
              <w:t>n41</w:t>
            </w:r>
          </w:p>
        </w:tc>
        <w:tc>
          <w:tcPr>
            <w:tcW w:w="1267" w:type="dxa"/>
            <w:vAlign w:val="center"/>
          </w:tcPr>
          <w:p>
            <w:pPr>
              <w:pStyle w:val="52"/>
              <w:rPr>
                <w:highlight w:val="none"/>
              </w:rPr>
            </w:pPr>
            <w:r>
              <w:rPr>
                <w:highlight w:val="none"/>
                <w:lang w:eastAsia="zh-CN"/>
              </w:rPr>
              <w:t>n77</w:t>
            </w:r>
          </w:p>
        </w:tc>
        <w:tc>
          <w:tcPr>
            <w:tcW w:w="1135" w:type="dxa"/>
            <w:vAlign w:val="center"/>
          </w:tcPr>
          <w:p>
            <w:pPr>
              <w:pStyle w:val="52"/>
              <w:rPr>
                <w:bCs/>
                <w:highlight w:val="none"/>
              </w:rPr>
            </w:pPr>
            <w:r>
              <w:rPr>
                <w:bCs/>
                <w:highlight w:val="none"/>
                <w:lang w:eastAsia="zh-CN"/>
              </w:rPr>
              <w:t>2640</w:t>
            </w:r>
          </w:p>
        </w:tc>
        <w:tc>
          <w:tcPr>
            <w:tcW w:w="1152" w:type="dxa"/>
            <w:noWrap/>
            <w:vAlign w:val="center"/>
          </w:tcPr>
          <w:p>
            <w:pPr>
              <w:pStyle w:val="52"/>
              <w:rPr>
                <w:bCs/>
                <w:highlight w:val="none"/>
              </w:rPr>
            </w:pPr>
            <w:r>
              <w:rPr>
                <w:bCs/>
                <w:highlight w:val="none"/>
                <w:lang w:eastAsia="zh-CN"/>
              </w:rPr>
              <w:t>100</w:t>
            </w:r>
          </w:p>
        </w:tc>
        <w:tc>
          <w:tcPr>
            <w:tcW w:w="1958" w:type="dxa"/>
            <w:vAlign w:val="center"/>
          </w:tcPr>
          <w:p>
            <w:pPr>
              <w:pStyle w:val="52"/>
              <w:rPr>
                <w:bCs/>
                <w:highlight w:val="none"/>
              </w:rPr>
            </w:pPr>
            <w:r>
              <w:rPr>
                <w:bCs/>
                <w:highlight w:val="none"/>
                <w:lang w:eastAsia="zh-CN"/>
              </w:rPr>
              <w:t>30</w:t>
            </w:r>
          </w:p>
        </w:tc>
        <w:tc>
          <w:tcPr>
            <w:tcW w:w="2457" w:type="dxa"/>
            <w:noWrap/>
            <w:vAlign w:val="center"/>
          </w:tcPr>
          <w:p>
            <w:pPr>
              <w:pStyle w:val="52"/>
              <w:rPr>
                <w:bCs/>
                <w:highlight w:val="none"/>
              </w:rPr>
            </w:pPr>
            <w:r>
              <w:rPr>
                <w:bCs/>
                <w:highlight w:val="none"/>
                <w:lang w:eastAsia="zh-CN"/>
              </w:rPr>
              <w:t>270 (RBstart=3)</w:t>
            </w:r>
          </w:p>
        </w:tc>
        <w:tc>
          <w:tcPr>
            <w:tcW w:w="1135" w:type="dxa"/>
            <w:vAlign w:val="center"/>
          </w:tcPr>
          <w:p>
            <w:pPr>
              <w:pStyle w:val="52"/>
              <w:rPr>
                <w:highlight w:val="none"/>
              </w:rPr>
            </w:pPr>
            <w:r>
              <w:rPr>
                <w:highlight w:val="none"/>
                <w:lang w:eastAsia="zh-CN"/>
              </w:rPr>
              <w:t>3305</w:t>
            </w:r>
          </w:p>
        </w:tc>
        <w:tc>
          <w:tcPr>
            <w:tcW w:w="1152" w:type="dxa"/>
            <w:noWrap/>
            <w:vAlign w:val="center"/>
          </w:tcPr>
          <w:p>
            <w:pPr>
              <w:pStyle w:val="52"/>
              <w:rPr>
                <w:highlight w:val="none"/>
              </w:rPr>
            </w:pPr>
            <w:r>
              <w:rPr>
                <w:highlight w:val="none"/>
                <w:lang w:eastAsia="zh-CN"/>
              </w:rPr>
              <w:t>10</w:t>
            </w:r>
          </w:p>
        </w:tc>
        <w:tc>
          <w:tcPr>
            <w:tcW w:w="911" w:type="dxa"/>
            <w:noWrap/>
            <w:vAlign w:val="center"/>
          </w:tcPr>
          <w:p>
            <w:pPr>
              <w:pStyle w:val="52"/>
              <w:rPr>
                <w:bCs/>
                <w:highlight w:val="none"/>
              </w:rPr>
            </w:pPr>
            <w:r>
              <w:rPr>
                <w:bCs/>
                <w:highlight w:val="none"/>
                <w:lang w:eastAsia="zh-CN"/>
              </w:rPr>
              <w:t>8.3</w:t>
            </w:r>
          </w:p>
        </w:tc>
        <w:tc>
          <w:tcPr>
            <w:tcW w:w="1846" w:type="dxa"/>
            <w:vAlign w:val="center"/>
          </w:tcPr>
          <w:p>
            <w:pPr>
              <w:pStyle w:val="52"/>
              <w:rPr>
                <w:bCs/>
                <w:highlight w:val="none"/>
              </w:rPr>
            </w:pPr>
            <w:r>
              <w:rPr>
                <w:bCs/>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n71</w:t>
            </w:r>
          </w:p>
        </w:tc>
        <w:tc>
          <w:tcPr>
            <w:tcW w:w="1267" w:type="dxa"/>
            <w:vAlign w:val="center"/>
          </w:tcPr>
          <w:p>
            <w:pPr>
              <w:pStyle w:val="52"/>
              <w:rPr>
                <w:highlight w:val="none"/>
                <w:vertAlign w:val="superscript"/>
              </w:rPr>
            </w:pPr>
            <w:r>
              <w:rPr>
                <w:highlight w:val="none"/>
              </w:rPr>
              <w:t>n29</w:t>
            </w:r>
          </w:p>
        </w:tc>
        <w:tc>
          <w:tcPr>
            <w:tcW w:w="1135" w:type="dxa"/>
            <w:vAlign w:val="center"/>
          </w:tcPr>
          <w:p>
            <w:pPr>
              <w:pStyle w:val="52"/>
              <w:rPr>
                <w:bCs/>
                <w:highlight w:val="none"/>
              </w:rPr>
            </w:pPr>
            <w:r>
              <w:rPr>
                <w:bCs/>
                <w:highlight w:val="none"/>
              </w:rPr>
              <w:t>688</w:t>
            </w:r>
          </w:p>
        </w:tc>
        <w:tc>
          <w:tcPr>
            <w:tcW w:w="1152" w:type="dxa"/>
            <w:noWrap/>
            <w:vAlign w:val="center"/>
          </w:tcPr>
          <w:p>
            <w:pPr>
              <w:pStyle w:val="52"/>
              <w:rPr>
                <w:bCs/>
                <w:highlight w:val="none"/>
              </w:rPr>
            </w:pPr>
            <w:r>
              <w:rPr>
                <w:bCs/>
                <w:highlight w:val="none"/>
              </w:rPr>
              <w:t>20</w:t>
            </w:r>
          </w:p>
        </w:tc>
        <w:tc>
          <w:tcPr>
            <w:tcW w:w="1958" w:type="dxa"/>
            <w:vAlign w:val="center"/>
          </w:tcPr>
          <w:p>
            <w:pPr>
              <w:pStyle w:val="52"/>
              <w:rPr>
                <w:bCs/>
                <w:highlight w:val="none"/>
              </w:rPr>
            </w:pPr>
            <w:r>
              <w:rPr>
                <w:bCs/>
                <w:highlight w:val="none"/>
              </w:rPr>
              <w:t>15</w:t>
            </w:r>
          </w:p>
        </w:tc>
        <w:tc>
          <w:tcPr>
            <w:tcW w:w="2457" w:type="dxa"/>
            <w:noWrap/>
            <w:vAlign w:val="center"/>
          </w:tcPr>
          <w:p>
            <w:pPr>
              <w:pStyle w:val="52"/>
              <w:rPr>
                <w:bCs/>
                <w:highlight w:val="none"/>
              </w:rPr>
            </w:pPr>
            <w:r>
              <w:rPr>
                <w:bCs/>
                <w:highlight w:val="none"/>
              </w:rPr>
              <w:t>20 (RBstart=86)</w:t>
            </w:r>
          </w:p>
        </w:tc>
        <w:tc>
          <w:tcPr>
            <w:tcW w:w="1135" w:type="dxa"/>
            <w:vAlign w:val="center"/>
          </w:tcPr>
          <w:p>
            <w:pPr>
              <w:pStyle w:val="52"/>
              <w:rPr>
                <w:highlight w:val="none"/>
              </w:rPr>
            </w:pPr>
            <w:r>
              <w:rPr>
                <w:highlight w:val="none"/>
              </w:rPr>
              <w:t>719.5</w:t>
            </w:r>
          </w:p>
        </w:tc>
        <w:tc>
          <w:tcPr>
            <w:tcW w:w="1152" w:type="dxa"/>
            <w:noWrap/>
            <w:vAlign w:val="center"/>
          </w:tcPr>
          <w:p>
            <w:pPr>
              <w:pStyle w:val="52"/>
              <w:rPr>
                <w:highlight w:val="none"/>
              </w:rPr>
            </w:pPr>
            <w:r>
              <w:rPr>
                <w:highlight w:val="none"/>
              </w:rPr>
              <w:t>5</w:t>
            </w:r>
          </w:p>
        </w:tc>
        <w:tc>
          <w:tcPr>
            <w:tcW w:w="911" w:type="dxa"/>
            <w:noWrap/>
            <w:vAlign w:val="center"/>
          </w:tcPr>
          <w:p>
            <w:pPr>
              <w:pStyle w:val="52"/>
              <w:rPr>
                <w:bCs/>
                <w:highlight w:val="none"/>
              </w:rPr>
            </w:pPr>
            <w:r>
              <w:rPr>
                <w:bCs/>
                <w:highlight w:val="none"/>
              </w:rPr>
              <w:t>17.5</w:t>
            </w:r>
          </w:p>
        </w:tc>
        <w:tc>
          <w:tcPr>
            <w:tcW w:w="1846" w:type="dxa"/>
            <w:vAlign w:val="center"/>
          </w:tcPr>
          <w:p>
            <w:pPr>
              <w:pStyle w:val="52"/>
              <w:rPr>
                <w:bCs/>
                <w:highlight w:val="none"/>
              </w:rPr>
            </w:pPr>
            <w:r>
              <w:rPr>
                <w:bCs/>
                <w:highlight w:val="none"/>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lang w:eastAsia="zh-CN"/>
              </w:rPr>
              <w:t>n77</w:t>
            </w:r>
          </w:p>
        </w:tc>
        <w:tc>
          <w:tcPr>
            <w:tcW w:w="1267" w:type="dxa"/>
            <w:vAlign w:val="center"/>
          </w:tcPr>
          <w:p>
            <w:pPr>
              <w:pStyle w:val="52"/>
              <w:rPr>
                <w:highlight w:val="none"/>
              </w:rPr>
            </w:pPr>
            <w:r>
              <w:rPr>
                <w:highlight w:val="none"/>
                <w:lang w:eastAsia="zh-CN"/>
              </w:rPr>
              <w:t>n41</w:t>
            </w:r>
            <w:r>
              <w:rPr>
                <w:highlight w:val="none"/>
                <w:vertAlign w:val="superscript"/>
                <w:lang w:eastAsia="zh-CN"/>
              </w:rPr>
              <w:t>1</w:t>
            </w:r>
          </w:p>
        </w:tc>
        <w:tc>
          <w:tcPr>
            <w:tcW w:w="1135" w:type="dxa"/>
            <w:vAlign w:val="center"/>
          </w:tcPr>
          <w:p>
            <w:pPr>
              <w:pStyle w:val="52"/>
              <w:rPr>
                <w:bCs/>
                <w:highlight w:val="none"/>
              </w:rPr>
            </w:pPr>
            <w:r>
              <w:rPr>
                <w:bCs/>
                <w:highlight w:val="none"/>
                <w:lang w:eastAsia="zh-CN"/>
              </w:rPr>
              <w:t>3350</w:t>
            </w:r>
          </w:p>
        </w:tc>
        <w:tc>
          <w:tcPr>
            <w:tcW w:w="1152" w:type="dxa"/>
            <w:noWrap/>
            <w:vAlign w:val="center"/>
          </w:tcPr>
          <w:p>
            <w:pPr>
              <w:pStyle w:val="52"/>
              <w:rPr>
                <w:bCs/>
                <w:highlight w:val="none"/>
              </w:rPr>
            </w:pPr>
            <w:r>
              <w:rPr>
                <w:bCs/>
                <w:highlight w:val="none"/>
                <w:lang w:eastAsia="zh-CN"/>
              </w:rPr>
              <w:t>100</w:t>
            </w:r>
          </w:p>
        </w:tc>
        <w:tc>
          <w:tcPr>
            <w:tcW w:w="1958" w:type="dxa"/>
            <w:vAlign w:val="center"/>
          </w:tcPr>
          <w:p>
            <w:pPr>
              <w:pStyle w:val="52"/>
              <w:rPr>
                <w:bCs/>
                <w:highlight w:val="none"/>
              </w:rPr>
            </w:pPr>
            <w:r>
              <w:rPr>
                <w:bCs/>
                <w:highlight w:val="none"/>
                <w:lang w:eastAsia="zh-CN"/>
              </w:rPr>
              <w:t>30</w:t>
            </w:r>
          </w:p>
        </w:tc>
        <w:tc>
          <w:tcPr>
            <w:tcW w:w="2457" w:type="dxa"/>
            <w:noWrap/>
            <w:vAlign w:val="center"/>
          </w:tcPr>
          <w:p>
            <w:pPr>
              <w:pStyle w:val="52"/>
              <w:rPr>
                <w:bCs/>
                <w:highlight w:val="none"/>
              </w:rPr>
            </w:pPr>
            <w:r>
              <w:rPr>
                <w:bCs/>
                <w:highlight w:val="none"/>
                <w:lang w:eastAsia="zh-CN"/>
              </w:rPr>
              <w:t>270 (RBstart=0)</w:t>
            </w:r>
          </w:p>
        </w:tc>
        <w:tc>
          <w:tcPr>
            <w:tcW w:w="1135" w:type="dxa"/>
            <w:vAlign w:val="center"/>
          </w:tcPr>
          <w:p>
            <w:pPr>
              <w:pStyle w:val="52"/>
              <w:rPr>
                <w:highlight w:val="none"/>
              </w:rPr>
            </w:pPr>
            <w:r>
              <w:rPr>
                <w:highlight w:val="none"/>
                <w:lang w:eastAsia="zh-CN"/>
              </w:rPr>
              <w:t>2685</w:t>
            </w:r>
          </w:p>
        </w:tc>
        <w:tc>
          <w:tcPr>
            <w:tcW w:w="1152" w:type="dxa"/>
            <w:noWrap/>
            <w:vAlign w:val="center"/>
          </w:tcPr>
          <w:p>
            <w:pPr>
              <w:pStyle w:val="52"/>
              <w:rPr>
                <w:highlight w:val="none"/>
              </w:rPr>
            </w:pPr>
            <w:r>
              <w:rPr>
                <w:highlight w:val="none"/>
                <w:lang w:eastAsia="zh-CN"/>
              </w:rPr>
              <w:t>10</w:t>
            </w:r>
          </w:p>
        </w:tc>
        <w:tc>
          <w:tcPr>
            <w:tcW w:w="911" w:type="dxa"/>
            <w:noWrap/>
            <w:vAlign w:val="center"/>
          </w:tcPr>
          <w:p>
            <w:pPr>
              <w:pStyle w:val="52"/>
              <w:rPr>
                <w:bCs/>
                <w:highlight w:val="none"/>
              </w:rPr>
            </w:pPr>
            <w:r>
              <w:rPr>
                <w:bCs/>
                <w:highlight w:val="none"/>
                <w:lang w:eastAsia="zh-CN"/>
              </w:rPr>
              <w:t>4.5</w:t>
            </w:r>
          </w:p>
        </w:tc>
        <w:tc>
          <w:tcPr>
            <w:tcW w:w="1846" w:type="dxa"/>
            <w:vAlign w:val="center"/>
          </w:tcPr>
          <w:p>
            <w:pPr>
              <w:pStyle w:val="52"/>
              <w:rPr>
                <w:bCs/>
                <w:highlight w:val="none"/>
              </w:rPr>
            </w:pPr>
            <w:r>
              <w:rPr>
                <w:bCs/>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lang w:eastAsia="zh-CN"/>
              </w:rPr>
              <w:t>n77</w:t>
            </w:r>
          </w:p>
        </w:tc>
        <w:tc>
          <w:tcPr>
            <w:tcW w:w="1267" w:type="dxa"/>
            <w:vAlign w:val="center"/>
          </w:tcPr>
          <w:p>
            <w:pPr>
              <w:pStyle w:val="52"/>
              <w:rPr>
                <w:highlight w:val="none"/>
              </w:rPr>
            </w:pPr>
            <w:r>
              <w:rPr>
                <w:highlight w:val="none"/>
                <w:lang w:eastAsia="zh-CN"/>
              </w:rPr>
              <w:t>n41</w:t>
            </w:r>
            <w:r>
              <w:rPr>
                <w:highlight w:val="none"/>
                <w:vertAlign w:val="superscript"/>
                <w:lang w:eastAsia="zh-CN"/>
              </w:rPr>
              <w:t>1</w:t>
            </w:r>
          </w:p>
        </w:tc>
        <w:tc>
          <w:tcPr>
            <w:tcW w:w="1135" w:type="dxa"/>
            <w:vAlign w:val="center"/>
          </w:tcPr>
          <w:p>
            <w:pPr>
              <w:pStyle w:val="52"/>
              <w:rPr>
                <w:bCs/>
                <w:highlight w:val="none"/>
              </w:rPr>
            </w:pPr>
            <w:r>
              <w:rPr>
                <w:bCs/>
                <w:highlight w:val="none"/>
                <w:lang w:eastAsia="zh-CN"/>
              </w:rPr>
              <w:t>3350</w:t>
            </w:r>
          </w:p>
        </w:tc>
        <w:tc>
          <w:tcPr>
            <w:tcW w:w="1152" w:type="dxa"/>
            <w:noWrap/>
            <w:vAlign w:val="center"/>
          </w:tcPr>
          <w:p>
            <w:pPr>
              <w:pStyle w:val="52"/>
              <w:rPr>
                <w:bCs/>
                <w:highlight w:val="none"/>
              </w:rPr>
            </w:pPr>
            <w:r>
              <w:rPr>
                <w:bCs/>
                <w:highlight w:val="none"/>
                <w:lang w:eastAsia="zh-CN"/>
              </w:rPr>
              <w:t>100</w:t>
            </w:r>
          </w:p>
        </w:tc>
        <w:tc>
          <w:tcPr>
            <w:tcW w:w="1958" w:type="dxa"/>
            <w:vAlign w:val="center"/>
          </w:tcPr>
          <w:p>
            <w:pPr>
              <w:pStyle w:val="52"/>
              <w:rPr>
                <w:bCs/>
                <w:highlight w:val="none"/>
              </w:rPr>
            </w:pPr>
            <w:r>
              <w:rPr>
                <w:bCs/>
                <w:highlight w:val="none"/>
                <w:lang w:eastAsia="zh-CN"/>
              </w:rPr>
              <w:t>30</w:t>
            </w:r>
          </w:p>
        </w:tc>
        <w:tc>
          <w:tcPr>
            <w:tcW w:w="2457" w:type="dxa"/>
            <w:noWrap/>
            <w:vAlign w:val="center"/>
          </w:tcPr>
          <w:p>
            <w:pPr>
              <w:pStyle w:val="52"/>
              <w:rPr>
                <w:bCs/>
                <w:highlight w:val="none"/>
              </w:rPr>
            </w:pPr>
            <w:r>
              <w:rPr>
                <w:bCs/>
                <w:highlight w:val="none"/>
                <w:lang w:eastAsia="zh-CN"/>
              </w:rPr>
              <w:t>270 (RBstart=0)</w:t>
            </w:r>
          </w:p>
        </w:tc>
        <w:tc>
          <w:tcPr>
            <w:tcW w:w="1135" w:type="dxa"/>
            <w:vAlign w:val="center"/>
          </w:tcPr>
          <w:p>
            <w:pPr>
              <w:pStyle w:val="52"/>
              <w:rPr>
                <w:highlight w:val="none"/>
              </w:rPr>
            </w:pPr>
            <w:r>
              <w:rPr>
                <w:highlight w:val="none"/>
                <w:lang w:eastAsia="zh-CN"/>
              </w:rPr>
              <w:t>2640</w:t>
            </w:r>
          </w:p>
        </w:tc>
        <w:tc>
          <w:tcPr>
            <w:tcW w:w="1152" w:type="dxa"/>
            <w:noWrap/>
            <w:vAlign w:val="center"/>
          </w:tcPr>
          <w:p>
            <w:pPr>
              <w:pStyle w:val="52"/>
              <w:rPr>
                <w:highlight w:val="none"/>
              </w:rPr>
            </w:pPr>
            <w:r>
              <w:rPr>
                <w:highlight w:val="none"/>
                <w:lang w:eastAsia="zh-CN"/>
              </w:rPr>
              <w:t>100</w:t>
            </w:r>
          </w:p>
        </w:tc>
        <w:tc>
          <w:tcPr>
            <w:tcW w:w="911" w:type="dxa"/>
            <w:noWrap/>
            <w:vAlign w:val="center"/>
          </w:tcPr>
          <w:p>
            <w:pPr>
              <w:pStyle w:val="52"/>
              <w:rPr>
                <w:bCs/>
                <w:highlight w:val="none"/>
              </w:rPr>
            </w:pPr>
            <w:r>
              <w:rPr>
                <w:bCs/>
                <w:highlight w:val="none"/>
                <w:lang w:eastAsia="zh-CN"/>
              </w:rPr>
              <w:t>4.5</w:t>
            </w:r>
          </w:p>
        </w:tc>
        <w:tc>
          <w:tcPr>
            <w:tcW w:w="1846" w:type="dxa"/>
            <w:vAlign w:val="center"/>
          </w:tcPr>
          <w:p>
            <w:pPr>
              <w:pStyle w:val="52"/>
              <w:rPr>
                <w:bCs/>
                <w:highlight w:val="none"/>
              </w:rPr>
            </w:pPr>
            <w:r>
              <w:rPr>
                <w:bCs/>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n78</w:t>
            </w:r>
          </w:p>
        </w:tc>
        <w:tc>
          <w:tcPr>
            <w:tcW w:w="1267" w:type="dxa"/>
            <w:vAlign w:val="center"/>
          </w:tcPr>
          <w:p>
            <w:pPr>
              <w:pStyle w:val="52"/>
              <w:rPr>
                <w:highlight w:val="none"/>
                <w:vertAlign w:val="superscript"/>
              </w:rPr>
            </w:pPr>
            <w:r>
              <w:rPr>
                <w:highlight w:val="none"/>
              </w:rPr>
              <w:t>n7</w:t>
            </w:r>
            <w:r>
              <w:rPr>
                <w:highlight w:val="none"/>
                <w:vertAlign w:val="superscript"/>
              </w:rPr>
              <w:t>1</w:t>
            </w:r>
          </w:p>
        </w:tc>
        <w:tc>
          <w:tcPr>
            <w:tcW w:w="1135" w:type="dxa"/>
            <w:vAlign w:val="center"/>
          </w:tcPr>
          <w:p>
            <w:pPr>
              <w:pStyle w:val="52"/>
              <w:rPr>
                <w:bCs/>
                <w:highlight w:val="none"/>
              </w:rPr>
            </w:pPr>
            <w:r>
              <w:rPr>
                <w:bCs/>
                <w:highlight w:val="none"/>
              </w:rPr>
              <w:t>3350</w:t>
            </w:r>
          </w:p>
        </w:tc>
        <w:tc>
          <w:tcPr>
            <w:tcW w:w="1152" w:type="dxa"/>
            <w:noWrap/>
            <w:vAlign w:val="center"/>
          </w:tcPr>
          <w:p>
            <w:pPr>
              <w:pStyle w:val="52"/>
              <w:rPr>
                <w:bCs/>
                <w:highlight w:val="none"/>
              </w:rPr>
            </w:pPr>
            <w:r>
              <w:rPr>
                <w:bCs/>
                <w:highlight w:val="none"/>
              </w:rPr>
              <w:t>100</w:t>
            </w:r>
          </w:p>
        </w:tc>
        <w:tc>
          <w:tcPr>
            <w:tcW w:w="1958" w:type="dxa"/>
            <w:vAlign w:val="center"/>
          </w:tcPr>
          <w:p>
            <w:pPr>
              <w:pStyle w:val="52"/>
              <w:rPr>
                <w:bCs/>
                <w:highlight w:val="none"/>
              </w:rPr>
            </w:pPr>
            <w:r>
              <w:rPr>
                <w:bCs/>
                <w:highlight w:val="none"/>
              </w:rPr>
              <w:t>30</w:t>
            </w:r>
          </w:p>
        </w:tc>
        <w:tc>
          <w:tcPr>
            <w:tcW w:w="2457" w:type="dxa"/>
            <w:noWrap/>
            <w:vAlign w:val="center"/>
          </w:tcPr>
          <w:p>
            <w:pPr>
              <w:pStyle w:val="52"/>
              <w:rPr>
                <w:bCs/>
                <w:highlight w:val="none"/>
              </w:rPr>
            </w:pPr>
            <w:r>
              <w:rPr>
                <w:bCs/>
                <w:highlight w:val="none"/>
              </w:rPr>
              <w:t>270 (RBstart=0)</w:t>
            </w:r>
          </w:p>
        </w:tc>
        <w:tc>
          <w:tcPr>
            <w:tcW w:w="1135" w:type="dxa"/>
            <w:vAlign w:val="center"/>
          </w:tcPr>
          <w:p>
            <w:pPr>
              <w:pStyle w:val="52"/>
              <w:rPr>
                <w:highlight w:val="none"/>
              </w:rPr>
            </w:pPr>
            <w:r>
              <w:rPr>
                <w:highlight w:val="none"/>
              </w:rPr>
              <w:t>2687.5</w:t>
            </w:r>
          </w:p>
        </w:tc>
        <w:tc>
          <w:tcPr>
            <w:tcW w:w="1152" w:type="dxa"/>
            <w:noWrap/>
            <w:vAlign w:val="center"/>
          </w:tcPr>
          <w:p>
            <w:pPr>
              <w:pStyle w:val="52"/>
              <w:rPr>
                <w:highlight w:val="none"/>
              </w:rPr>
            </w:pPr>
            <w:r>
              <w:rPr>
                <w:highlight w:val="none"/>
              </w:rPr>
              <w:t>5</w:t>
            </w:r>
          </w:p>
        </w:tc>
        <w:tc>
          <w:tcPr>
            <w:tcW w:w="911" w:type="dxa"/>
            <w:noWrap/>
            <w:vAlign w:val="center"/>
          </w:tcPr>
          <w:p>
            <w:pPr>
              <w:pStyle w:val="52"/>
              <w:rPr>
                <w:bCs/>
                <w:highlight w:val="none"/>
              </w:rPr>
            </w:pPr>
            <w:r>
              <w:rPr>
                <w:bCs/>
                <w:highlight w:val="none"/>
              </w:rPr>
              <w:t>4.5</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n78</w:t>
            </w:r>
            <w:r>
              <w:rPr>
                <w:highlight w:val="none"/>
                <w:vertAlign w:val="superscript"/>
              </w:rPr>
              <w:t>3</w:t>
            </w:r>
          </w:p>
        </w:tc>
        <w:tc>
          <w:tcPr>
            <w:tcW w:w="1267" w:type="dxa"/>
            <w:vAlign w:val="center"/>
          </w:tcPr>
          <w:p>
            <w:pPr>
              <w:pStyle w:val="52"/>
              <w:rPr>
                <w:highlight w:val="none"/>
                <w:vertAlign w:val="superscript"/>
              </w:rPr>
            </w:pPr>
            <w:r>
              <w:rPr>
                <w:highlight w:val="none"/>
              </w:rPr>
              <w:t>n79</w:t>
            </w:r>
          </w:p>
        </w:tc>
        <w:tc>
          <w:tcPr>
            <w:tcW w:w="1135" w:type="dxa"/>
            <w:vAlign w:val="center"/>
          </w:tcPr>
          <w:p>
            <w:pPr>
              <w:pStyle w:val="52"/>
              <w:rPr>
                <w:bCs/>
                <w:highlight w:val="none"/>
              </w:rPr>
            </w:pPr>
            <w:r>
              <w:rPr>
                <w:bCs/>
                <w:highlight w:val="none"/>
              </w:rPr>
              <w:t>3750</w:t>
            </w:r>
          </w:p>
        </w:tc>
        <w:tc>
          <w:tcPr>
            <w:tcW w:w="1152" w:type="dxa"/>
            <w:noWrap/>
            <w:vAlign w:val="center"/>
          </w:tcPr>
          <w:p>
            <w:pPr>
              <w:pStyle w:val="52"/>
              <w:rPr>
                <w:bCs/>
                <w:highlight w:val="none"/>
              </w:rPr>
            </w:pPr>
            <w:r>
              <w:rPr>
                <w:bCs/>
                <w:highlight w:val="none"/>
              </w:rPr>
              <w:t>100</w:t>
            </w:r>
          </w:p>
        </w:tc>
        <w:tc>
          <w:tcPr>
            <w:tcW w:w="1958" w:type="dxa"/>
            <w:vAlign w:val="center"/>
          </w:tcPr>
          <w:p>
            <w:pPr>
              <w:pStyle w:val="52"/>
              <w:rPr>
                <w:bCs/>
                <w:highlight w:val="none"/>
              </w:rPr>
            </w:pPr>
            <w:r>
              <w:rPr>
                <w:bCs/>
                <w:highlight w:val="none"/>
              </w:rPr>
              <w:t>30</w:t>
            </w:r>
          </w:p>
        </w:tc>
        <w:tc>
          <w:tcPr>
            <w:tcW w:w="2457" w:type="dxa"/>
            <w:noWrap/>
            <w:vAlign w:val="center"/>
          </w:tcPr>
          <w:p>
            <w:pPr>
              <w:pStyle w:val="52"/>
              <w:rPr>
                <w:bCs/>
                <w:highlight w:val="none"/>
              </w:rPr>
            </w:pPr>
            <w:r>
              <w:rPr>
                <w:bCs/>
                <w:highlight w:val="none"/>
              </w:rPr>
              <w:t>270 (RBstart=3)</w:t>
            </w:r>
          </w:p>
        </w:tc>
        <w:tc>
          <w:tcPr>
            <w:tcW w:w="1135" w:type="dxa"/>
            <w:vAlign w:val="center"/>
          </w:tcPr>
          <w:p>
            <w:pPr>
              <w:pStyle w:val="52"/>
              <w:rPr>
                <w:highlight w:val="none"/>
              </w:rPr>
            </w:pPr>
            <w:r>
              <w:rPr>
                <w:highlight w:val="none"/>
              </w:rPr>
              <w:t>4420</w:t>
            </w:r>
          </w:p>
        </w:tc>
        <w:tc>
          <w:tcPr>
            <w:tcW w:w="1152" w:type="dxa"/>
            <w:noWrap/>
            <w:vAlign w:val="center"/>
          </w:tcPr>
          <w:p>
            <w:pPr>
              <w:pStyle w:val="52"/>
              <w:rPr>
                <w:highlight w:val="none"/>
              </w:rPr>
            </w:pPr>
            <w:r>
              <w:rPr>
                <w:highlight w:val="none"/>
              </w:rPr>
              <w:t>40</w:t>
            </w:r>
          </w:p>
        </w:tc>
        <w:tc>
          <w:tcPr>
            <w:tcW w:w="911" w:type="dxa"/>
            <w:noWrap/>
            <w:vAlign w:val="center"/>
          </w:tcPr>
          <w:p>
            <w:pPr>
              <w:pStyle w:val="52"/>
              <w:rPr>
                <w:bCs/>
                <w:highlight w:val="none"/>
              </w:rPr>
            </w:pPr>
            <w:r>
              <w:rPr>
                <w:bCs/>
                <w:highlight w:val="none"/>
              </w:rPr>
              <w:t>2</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n78</w:t>
            </w:r>
            <w:r>
              <w:rPr>
                <w:highlight w:val="none"/>
                <w:vertAlign w:val="superscript"/>
              </w:rPr>
              <w:t>3</w:t>
            </w:r>
          </w:p>
        </w:tc>
        <w:tc>
          <w:tcPr>
            <w:tcW w:w="1267" w:type="dxa"/>
            <w:vAlign w:val="center"/>
          </w:tcPr>
          <w:p>
            <w:pPr>
              <w:pStyle w:val="52"/>
              <w:rPr>
                <w:highlight w:val="none"/>
                <w:vertAlign w:val="superscript"/>
              </w:rPr>
            </w:pPr>
            <w:r>
              <w:rPr>
                <w:highlight w:val="none"/>
              </w:rPr>
              <w:t>n79</w:t>
            </w:r>
          </w:p>
        </w:tc>
        <w:tc>
          <w:tcPr>
            <w:tcW w:w="1135" w:type="dxa"/>
            <w:vAlign w:val="center"/>
          </w:tcPr>
          <w:p>
            <w:pPr>
              <w:pStyle w:val="52"/>
              <w:rPr>
                <w:bCs/>
                <w:highlight w:val="none"/>
              </w:rPr>
            </w:pPr>
            <w:r>
              <w:rPr>
                <w:bCs/>
                <w:highlight w:val="none"/>
              </w:rPr>
              <w:t>3750</w:t>
            </w:r>
          </w:p>
        </w:tc>
        <w:tc>
          <w:tcPr>
            <w:tcW w:w="1152" w:type="dxa"/>
            <w:noWrap/>
            <w:vAlign w:val="center"/>
          </w:tcPr>
          <w:p>
            <w:pPr>
              <w:pStyle w:val="52"/>
              <w:rPr>
                <w:bCs/>
                <w:highlight w:val="none"/>
              </w:rPr>
            </w:pPr>
            <w:r>
              <w:rPr>
                <w:bCs/>
                <w:highlight w:val="none"/>
              </w:rPr>
              <w:t>100</w:t>
            </w:r>
          </w:p>
        </w:tc>
        <w:tc>
          <w:tcPr>
            <w:tcW w:w="1958" w:type="dxa"/>
            <w:vAlign w:val="center"/>
          </w:tcPr>
          <w:p>
            <w:pPr>
              <w:pStyle w:val="52"/>
              <w:rPr>
                <w:bCs/>
                <w:highlight w:val="none"/>
              </w:rPr>
            </w:pPr>
            <w:r>
              <w:rPr>
                <w:bCs/>
                <w:highlight w:val="none"/>
              </w:rPr>
              <w:t>30</w:t>
            </w:r>
          </w:p>
        </w:tc>
        <w:tc>
          <w:tcPr>
            <w:tcW w:w="2457" w:type="dxa"/>
            <w:noWrap/>
            <w:vAlign w:val="center"/>
          </w:tcPr>
          <w:p>
            <w:pPr>
              <w:pStyle w:val="52"/>
              <w:rPr>
                <w:bCs/>
                <w:highlight w:val="none"/>
              </w:rPr>
            </w:pPr>
            <w:r>
              <w:rPr>
                <w:bCs/>
                <w:highlight w:val="none"/>
              </w:rPr>
              <w:t>270 (RBstart=3)</w:t>
            </w:r>
          </w:p>
        </w:tc>
        <w:tc>
          <w:tcPr>
            <w:tcW w:w="1135" w:type="dxa"/>
            <w:vAlign w:val="center"/>
          </w:tcPr>
          <w:p>
            <w:pPr>
              <w:pStyle w:val="52"/>
              <w:rPr>
                <w:highlight w:val="none"/>
              </w:rPr>
            </w:pPr>
            <w:r>
              <w:rPr>
                <w:highlight w:val="none"/>
              </w:rPr>
              <w:t>4450</w:t>
            </w:r>
          </w:p>
        </w:tc>
        <w:tc>
          <w:tcPr>
            <w:tcW w:w="1152" w:type="dxa"/>
            <w:noWrap/>
            <w:vAlign w:val="center"/>
          </w:tcPr>
          <w:p>
            <w:pPr>
              <w:pStyle w:val="52"/>
              <w:rPr>
                <w:highlight w:val="none"/>
              </w:rPr>
            </w:pPr>
            <w:r>
              <w:rPr>
                <w:highlight w:val="none"/>
              </w:rPr>
              <w:t>100</w:t>
            </w:r>
          </w:p>
        </w:tc>
        <w:tc>
          <w:tcPr>
            <w:tcW w:w="911" w:type="dxa"/>
            <w:noWrap/>
            <w:vAlign w:val="center"/>
          </w:tcPr>
          <w:p>
            <w:pPr>
              <w:pStyle w:val="52"/>
              <w:rPr>
                <w:bCs/>
                <w:highlight w:val="none"/>
              </w:rPr>
            </w:pPr>
            <w:r>
              <w:rPr>
                <w:bCs/>
                <w:highlight w:val="none"/>
              </w:rPr>
              <w:t>2</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n79</w:t>
            </w:r>
          </w:p>
        </w:tc>
        <w:tc>
          <w:tcPr>
            <w:tcW w:w="1267" w:type="dxa"/>
            <w:vAlign w:val="center"/>
          </w:tcPr>
          <w:p>
            <w:pPr>
              <w:pStyle w:val="52"/>
              <w:rPr>
                <w:highlight w:val="none"/>
              </w:rPr>
            </w:pPr>
            <w:r>
              <w:rPr>
                <w:highlight w:val="none"/>
              </w:rPr>
              <w:t>n78</w:t>
            </w:r>
            <w:r>
              <w:rPr>
                <w:highlight w:val="none"/>
                <w:vertAlign w:val="superscript"/>
              </w:rPr>
              <w:t>3</w:t>
            </w:r>
          </w:p>
        </w:tc>
        <w:tc>
          <w:tcPr>
            <w:tcW w:w="1135" w:type="dxa"/>
            <w:vAlign w:val="center"/>
          </w:tcPr>
          <w:p>
            <w:pPr>
              <w:pStyle w:val="52"/>
              <w:rPr>
                <w:bCs/>
                <w:highlight w:val="none"/>
              </w:rPr>
            </w:pPr>
            <w:r>
              <w:rPr>
                <w:bCs/>
                <w:highlight w:val="none"/>
              </w:rPr>
              <w:t>4450</w:t>
            </w:r>
          </w:p>
        </w:tc>
        <w:tc>
          <w:tcPr>
            <w:tcW w:w="1152" w:type="dxa"/>
            <w:noWrap/>
            <w:vAlign w:val="center"/>
          </w:tcPr>
          <w:p>
            <w:pPr>
              <w:pStyle w:val="52"/>
              <w:rPr>
                <w:bCs/>
                <w:highlight w:val="none"/>
              </w:rPr>
            </w:pPr>
            <w:r>
              <w:rPr>
                <w:bCs/>
                <w:highlight w:val="none"/>
              </w:rPr>
              <w:t>100</w:t>
            </w:r>
          </w:p>
        </w:tc>
        <w:tc>
          <w:tcPr>
            <w:tcW w:w="1958" w:type="dxa"/>
            <w:vAlign w:val="center"/>
          </w:tcPr>
          <w:p>
            <w:pPr>
              <w:pStyle w:val="52"/>
              <w:rPr>
                <w:bCs/>
                <w:highlight w:val="none"/>
              </w:rPr>
            </w:pPr>
            <w:r>
              <w:rPr>
                <w:bCs/>
                <w:highlight w:val="none"/>
              </w:rPr>
              <w:t>30</w:t>
            </w:r>
          </w:p>
        </w:tc>
        <w:tc>
          <w:tcPr>
            <w:tcW w:w="2457" w:type="dxa"/>
            <w:noWrap/>
            <w:vAlign w:val="center"/>
          </w:tcPr>
          <w:p>
            <w:pPr>
              <w:pStyle w:val="52"/>
              <w:rPr>
                <w:bCs/>
                <w:highlight w:val="none"/>
              </w:rPr>
            </w:pPr>
            <w:r>
              <w:rPr>
                <w:bCs/>
                <w:highlight w:val="none"/>
              </w:rPr>
              <w:t>270 (RBstart=0)</w:t>
            </w:r>
          </w:p>
        </w:tc>
        <w:tc>
          <w:tcPr>
            <w:tcW w:w="1135" w:type="dxa"/>
            <w:vAlign w:val="center"/>
          </w:tcPr>
          <w:p>
            <w:pPr>
              <w:pStyle w:val="52"/>
              <w:rPr>
                <w:highlight w:val="none"/>
              </w:rPr>
            </w:pPr>
            <w:r>
              <w:rPr>
                <w:highlight w:val="none"/>
              </w:rPr>
              <w:t>3795</w:t>
            </w:r>
          </w:p>
        </w:tc>
        <w:tc>
          <w:tcPr>
            <w:tcW w:w="1152" w:type="dxa"/>
            <w:noWrap/>
            <w:vAlign w:val="center"/>
          </w:tcPr>
          <w:p>
            <w:pPr>
              <w:pStyle w:val="52"/>
              <w:rPr>
                <w:highlight w:val="none"/>
              </w:rPr>
            </w:pPr>
            <w:r>
              <w:rPr>
                <w:highlight w:val="none"/>
              </w:rPr>
              <w:t>10</w:t>
            </w:r>
          </w:p>
        </w:tc>
        <w:tc>
          <w:tcPr>
            <w:tcW w:w="911" w:type="dxa"/>
            <w:noWrap/>
            <w:vAlign w:val="center"/>
          </w:tcPr>
          <w:p>
            <w:pPr>
              <w:pStyle w:val="52"/>
              <w:rPr>
                <w:bCs/>
                <w:highlight w:val="none"/>
              </w:rPr>
            </w:pPr>
            <w:r>
              <w:rPr>
                <w:bCs/>
                <w:highlight w:val="none"/>
              </w:rPr>
              <w:t>2.6</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pPr>
              <w:pStyle w:val="52"/>
              <w:rPr>
                <w:highlight w:val="none"/>
              </w:rPr>
            </w:pPr>
            <w:r>
              <w:rPr>
                <w:highlight w:val="none"/>
              </w:rPr>
              <w:t>n79</w:t>
            </w:r>
          </w:p>
        </w:tc>
        <w:tc>
          <w:tcPr>
            <w:tcW w:w="1267" w:type="dxa"/>
            <w:vAlign w:val="center"/>
          </w:tcPr>
          <w:p>
            <w:pPr>
              <w:pStyle w:val="52"/>
              <w:rPr>
                <w:highlight w:val="none"/>
              </w:rPr>
            </w:pPr>
            <w:r>
              <w:rPr>
                <w:highlight w:val="none"/>
              </w:rPr>
              <w:t>n78</w:t>
            </w:r>
            <w:r>
              <w:rPr>
                <w:highlight w:val="none"/>
                <w:vertAlign w:val="superscript"/>
              </w:rPr>
              <w:t>3</w:t>
            </w:r>
          </w:p>
        </w:tc>
        <w:tc>
          <w:tcPr>
            <w:tcW w:w="1135" w:type="dxa"/>
            <w:vAlign w:val="center"/>
          </w:tcPr>
          <w:p>
            <w:pPr>
              <w:pStyle w:val="52"/>
              <w:rPr>
                <w:bCs/>
                <w:highlight w:val="none"/>
              </w:rPr>
            </w:pPr>
            <w:r>
              <w:rPr>
                <w:bCs/>
                <w:highlight w:val="none"/>
              </w:rPr>
              <w:t>4450</w:t>
            </w:r>
          </w:p>
        </w:tc>
        <w:tc>
          <w:tcPr>
            <w:tcW w:w="1152" w:type="dxa"/>
            <w:noWrap/>
            <w:vAlign w:val="center"/>
          </w:tcPr>
          <w:p>
            <w:pPr>
              <w:pStyle w:val="52"/>
              <w:rPr>
                <w:bCs/>
                <w:highlight w:val="none"/>
              </w:rPr>
            </w:pPr>
            <w:r>
              <w:rPr>
                <w:bCs/>
                <w:highlight w:val="none"/>
              </w:rPr>
              <w:t>100</w:t>
            </w:r>
          </w:p>
        </w:tc>
        <w:tc>
          <w:tcPr>
            <w:tcW w:w="1958" w:type="dxa"/>
            <w:vAlign w:val="center"/>
          </w:tcPr>
          <w:p>
            <w:pPr>
              <w:pStyle w:val="52"/>
              <w:rPr>
                <w:bCs/>
                <w:highlight w:val="none"/>
              </w:rPr>
            </w:pPr>
            <w:r>
              <w:rPr>
                <w:bCs/>
                <w:highlight w:val="none"/>
              </w:rPr>
              <w:t>30</w:t>
            </w:r>
          </w:p>
        </w:tc>
        <w:tc>
          <w:tcPr>
            <w:tcW w:w="2457" w:type="dxa"/>
            <w:noWrap/>
            <w:vAlign w:val="center"/>
          </w:tcPr>
          <w:p>
            <w:pPr>
              <w:pStyle w:val="52"/>
              <w:rPr>
                <w:bCs/>
                <w:highlight w:val="none"/>
              </w:rPr>
            </w:pPr>
            <w:r>
              <w:rPr>
                <w:bCs/>
                <w:highlight w:val="none"/>
              </w:rPr>
              <w:t>270 (RBstart=0)</w:t>
            </w:r>
          </w:p>
        </w:tc>
        <w:tc>
          <w:tcPr>
            <w:tcW w:w="1135" w:type="dxa"/>
            <w:vAlign w:val="center"/>
          </w:tcPr>
          <w:p>
            <w:pPr>
              <w:pStyle w:val="52"/>
              <w:rPr>
                <w:highlight w:val="none"/>
              </w:rPr>
            </w:pPr>
            <w:r>
              <w:rPr>
                <w:highlight w:val="none"/>
              </w:rPr>
              <w:t>3750</w:t>
            </w:r>
          </w:p>
        </w:tc>
        <w:tc>
          <w:tcPr>
            <w:tcW w:w="1152" w:type="dxa"/>
            <w:noWrap/>
            <w:vAlign w:val="center"/>
          </w:tcPr>
          <w:p>
            <w:pPr>
              <w:pStyle w:val="52"/>
              <w:rPr>
                <w:highlight w:val="none"/>
              </w:rPr>
            </w:pPr>
            <w:r>
              <w:rPr>
                <w:highlight w:val="none"/>
              </w:rPr>
              <w:t>100</w:t>
            </w:r>
          </w:p>
        </w:tc>
        <w:tc>
          <w:tcPr>
            <w:tcW w:w="911" w:type="dxa"/>
            <w:noWrap/>
            <w:vAlign w:val="center"/>
          </w:tcPr>
          <w:p>
            <w:pPr>
              <w:pStyle w:val="52"/>
              <w:rPr>
                <w:bCs/>
                <w:highlight w:val="none"/>
              </w:rPr>
            </w:pPr>
            <w:r>
              <w:rPr>
                <w:bCs/>
                <w:highlight w:val="none"/>
              </w:rPr>
              <w:t>2.6</w:t>
            </w:r>
          </w:p>
        </w:tc>
        <w:tc>
          <w:tcPr>
            <w:tcW w:w="1846" w:type="dxa"/>
            <w:vAlign w:val="center"/>
          </w:tcPr>
          <w:p>
            <w:pPr>
              <w:pStyle w:val="52"/>
              <w:rPr>
                <w:bCs/>
                <w:highlight w:val="none"/>
              </w:rPr>
            </w:pPr>
            <w:r>
              <w:rPr>
                <w:bCs/>
                <w:highlight w:val="none"/>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4280" w:type="dxa"/>
            <w:gridSpan w:val="10"/>
            <w:vAlign w:val="center"/>
          </w:tcPr>
          <w:p>
            <w:pPr>
              <w:pStyle w:val="66"/>
              <w:rPr>
                <w:highlight w:val="none"/>
              </w:rPr>
            </w:pPr>
            <w:r>
              <w:rPr>
                <w:highlight w:val="none"/>
              </w:rPr>
              <w:t>NOTE 1:</w:t>
            </w:r>
            <w:r>
              <w:rPr>
                <w:highlight w:val="none"/>
              </w:rPr>
              <w:tab/>
            </w:r>
            <w:r>
              <w:rPr>
                <w:highlight w:val="none"/>
              </w:rPr>
              <w:t>Applicable only when harmonic mixing MSD for this combination is not applied.</w:t>
            </w:r>
          </w:p>
          <w:p>
            <w:pPr>
              <w:pStyle w:val="66"/>
              <w:rPr>
                <w:highlight w:val="none"/>
              </w:rPr>
            </w:pPr>
            <w:r>
              <w:rPr>
                <w:highlight w:val="none"/>
                <w:lang w:eastAsia="ja-JP"/>
              </w:rPr>
              <w:t xml:space="preserve">NOTE </w:t>
            </w:r>
            <w:r>
              <w:rPr>
                <w:highlight w:val="none"/>
              </w:rPr>
              <w:t>2</w:t>
            </w:r>
            <w:r>
              <w:rPr>
                <w:highlight w:val="none"/>
                <w:lang w:eastAsia="ja-JP"/>
              </w:rPr>
              <w:t>:</w:t>
            </w:r>
            <w:r>
              <w:rPr>
                <w:highlight w:val="none"/>
                <w:lang w:eastAsia="ja-JP"/>
              </w:rPr>
              <w:tab/>
            </w:r>
            <w:r>
              <w:rPr>
                <w:highlight w:val="none"/>
              </w:rPr>
              <w:t>Void</w:t>
            </w:r>
          </w:p>
          <w:p>
            <w:pPr>
              <w:pStyle w:val="66"/>
              <w:rPr>
                <w:highlight w:val="none"/>
                <w:lang w:eastAsia="ja-JP"/>
              </w:rPr>
            </w:pPr>
            <w:r>
              <w:rPr>
                <w:highlight w:val="none"/>
              </w:rPr>
              <w:t>NOTE 3:</w:t>
            </w:r>
            <w:r>
              <w:rPr>
                <w:highlight w:val="none"/>
              </w:rPr>
              <w:tab/>
            </w:r>
            <w:r>
              <w:rPr>
                <w:highlight w:val="none"/>
                <w:lang w:eastAsia="ja-JP"/>
              </w:rPr>
              <w:t>The requirements only apply for UEs supporting inter-band carrier aggregation with simultaneous Rx/Tx capability. Simultaneous Rx/Tx capability does not apply for UEs supporting band n78 with a n77 implementation.</w:t>
            </w:r>
          </w:p>
          <w:p>
            <w:pPr>
              <w:pStyle w:val="66"/>
              <w:rPr>
                <w:highlight w:val="none"/>
                <w:lang w:eastAsia="ja-JP"/>
              </w:rPr>
            </w:pPr>
            <w:r>
              <w:rPr>
                <w:highlight w:val="none"/>
              </w:rPr>
              <w:t>NOTE 4:</w:t>
            </w:r>
            <w:r>
              <w:rPr>
                <w:highlight w:val="none"/>
              </w:rPr>
              <w:tab/>
            </w:r>
            <w:r>
              <w:rPr>
                <w:highlight w:val="none"/>
                <w:lang w:eastAsia="ja-JP"/>
              </w:rPr>
              <w:t>Void</w:t>
            </w:r>
          </w:p>
          <w:p>
            <w:pPr>
              <w:pStyle w:val="66"/>
              <w:rPr>
                <w:rFonts w:cs="Arial"/>
                <w:bCs/>
                <w:szCs w:val="18"/>
                <w:highlight w:val="none"/>
              </w:rPr>
            </w:pPr>
            <w:r>
              <w:rPr>
                <w:rFonts w:cs="Arial"/>
                <w:szCs w:val="18"/>
                <w:highlight w:val="none"/>
              </w:rPr>
              <w:t>NOTE 5:</w:t>
            </w:r>
            <w:r>
              <w:rPr>
                <w:rFonts w:cs="Arial"/>
                <w:szCs w:val="18"/>
                <w:highlight w:val="none"/>
              </w:rPr>
              <w:tab/>
            </w:r>
            <w:r>
              <w:rPr>
                <w:rFonts w:cs="Arial"/>
                <w:szCs w:val="18"/>
                <w:highlight w:val="none"/>
              </w:rPr>
              <w:t>The MSD exceptions are applicable to the case that interference of UL band 3</w:t>
            </w:r>
            <w:r>
              <w:rPr>
                <w:rFonts w:cs="Arial"/>
                <w:szCs w:val="18"/>
                <w:highlight w:val="none"/>
                <w:vertAlign w:val="superscript"/>
              </w:rPr>
              <w:t>rd</w:t>
            </w:r>
            <w:r>
              <w:rPr>
                <w:rFonts w:cs="Arial"/>
                <w:szCs w:val="18"/>
                <w:highlight w:val="none"/>
              </w:rPr>
              <w:t xml:space="preserve"> order IMD product falls into the affected DL channels.</w:t>
            </w:r>
          </w:p>
        </w:tc>
      </w:tr>
    </w:tbl>
    <w:p>
      <w:pPr>
        <w:rPr>
          <w:rFonts w:eastAsia="MS Mincho"/>
          <w:highlight w:val="none"/>
        </w:rPr>
      </w:pP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57BF42"/>
    <w:multiLevelType w:val="singleLevel"/>
    <w:tmpl w:val="F557BF4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D4B"/>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1E4F1F"/>
    <w:rsid w:val="032AB760"/>
    <w:rsid w:val="0997754E"/>
    <w:rsid w:val="0BF056B1"/>
    <w:rsid w:val="0C85022B"/>
    <w:rsid w:val="15906304"/>
    <w:rsid w:val="16146867"/>
    <w:rsid w:val="207635CA"/>
    <w:rsid w:val="20F609A0"/>
    <w:rsid w:val="235D47EF"/>
    <w:rsid w:val="23737953"/>
    <w:rsid w:val="261C6531"/>
    <w:rsid w:val="28223713"/>
    <w:rsid w:val="29BA02D4"/>
    <w:rsid w:val="2AD259BB"/>
    <w:rsid w:val="2B244D13"/>
    <w:rsid w:val="2BB022E4"/>
    <w:rsid w:val="2F8A1F94"/>
    <w:rsid w:val="360E6742"/>
    <w:rsid w:val="36AD6273"/>
    <w:rsid w:val="39A60D6D"/>
    <w:rsid w:val="3B196344"/>
    <w:rsid w:val="3D0A39FF"/>
    <w:rsid w:val="3EB7C8FC"/>
    <w:rsid w:val="3EBD4E8D"/>
    <w:rsid w:val="414814A7"/>
    <w:rsid w:val="423E6BB2"/>
    <w:rsid w:val="437F318A"/>
    <w:rsid w:val="476D7F6C"/>
    <w:rsid w:val="4F145F0F"/>
    <w:rsid w:val="55E47A45"/>
    <w:rsid w:val="58E21CDD"/>
    <w:rsid w:val="58FA4DBF"/>
    <w:rsid w:val="61317708"/>
    <w:rsid w:val="634633E3"/>
    <w:rsid w:val="67D3242E"/>
    <w:rsid w:val="67E42730"/>
    <w:rsid w:val="6A9506B3"/>
    <w:rsid w:val="6BFBBB5D"/>
    <w:rsid w:val="6E5E2E89"/>
    <w:rsid w:val="6EC119F5"/>
    <w:rsid w:val="6F9B2726"/>
    <w:rsid w:val="6FBF53C9"/>
    <w:rsid w:val="734A3A7A"/>
    <w:rsid w:val="753E09D1"/>
    <w:rsid w:val="77F13D7A"/>
    <w:rsid w:val="7A810926"/>
    <w:rsid w:val="7BDD5D9A"/>
    <w:rsid w:val="7BFF6EEF"/>
    <w:rsid w:val="7C5D7F1A"/>
    <w:rsid w:val="7E3316A2"/>
    <w:rsid w:val="7E92418F"/>
    <w:rsid w:val="7EFFA8F1"/>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2024-05-10T11:05:48Z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FF021911DA7B46BA8C99109A28C7CA59</vt:lpwstr>
  </property>
</Properties>
</file>